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36034">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14:paraId="693E12D1">
      <w:pPr>
        <w:pStyle w:val="2"/>
        <w:jc w:val="center"/>
        <w:rPr>
          <w:rFonts w:ascii="宋体"/>
          <w:sz w:val="24"/>
        </w:rPr>
      </w:pPr>
    </w:p>
    <w:p w14:paraId="790C9CCA">
      <w:pPr>
        <w:pStyle w:val="2"/>
        <w:spacing w:line="0" w:lineRule="atLeast"/>
        <w:jc w:val="center"/>
        <w:outlineLvl w:val="1"/>
        <w:rPr>
          <w:rFonts w:ascii="宋体" w:hAnsi="宋体"/>
          <w:sz w:val="44"/>
          <w:szCs w:val="44"/>
          <w:highlight w:val="white"/>
        </w:rPr>
      </w:pPr>
      <w:bookmarkStart w:id="0" w:name="_Toc411415132"/>
      <w:r>
        <w:rPr>
          <w:rFonts w:hint="eastAsia" w:ascii="宋体" w:hAnsi="宋体"/>
          <w:sz w:val="44"/>
          <w:szCs w:val="44"/>
          <w:highlight w:val="white"/>
        </w:rPr>
        <w:t>报价函</w:t>
      </w:r>
      <w:bookmarkEnd w:id="0"/>
    </w:p>
    <w:p w14:paraId="6D02AB51">
      <w:pPr>
        <w:pStyle w:val="2"/>
        <w:spacing w:line="0" w:lineRule="atLeast"/>
        <w:rPr>
          <w:rFonts w:ascii="宋体"/>
          <w:sz w:val="24"/>
        </w:rPr>
      </w:pPr>
    </w:p>
    <w:p w14:paraId="44A3B3F7">
      <w:pPr>
        <w:pStyle w:val="2"/>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highlight w:val="white"/>
          <w:lang w:val="en-US" w:eastAsia="zh-CN"/>
        </w:rPr>
        <w:t>苏州市吴江区八都学校</w:t>
      </w:r>
      <w:r>
        <w:rPr>
          <w:rFonts w:hint="eastAsia" w:asciiTheme="minorEastAsia" w:hAnsiTheme="minorEastAsia" w:eastAsiaTheme="minorEastAsia"/>
          <w:sz w:val="28"/>
          <w:szCs w:val="28"/>
          <w:highlight w:val="white"/>
        </w:rPr>
        <w:t>：</w:t>
      </w:r>
    </w:p>
    <w:p w14:paraId="65FE5F6A">
      <w:pPr>
        <w:spacing w:line="600" w:lineRule="exact"/>
        <w:ind w:firstLine="720"/>
        <w:rPr>
          <w:rFonts w:cs="仿宋" w:asciiTheme="minorEastAsia" w:hAnsiTheme="minorEastAsia"/>
          <w:kern w:val="0"/>
          <w:sz w:val="28"/>
          <w:szCs w:val="28"/>
        </w:rPr>
      </w:pPr>
      <w:r>
        <w:rPr>
          <w:rFonts w:hint="eastAsia" w:cs="仿宋" w:asciiTheme="minorEastAsia" w:hAnsiTheme="minorEastAsia"/>
          <w:kern w:val="0"/>
          <w:sz w:val="28"/>
          <w:szCs w:val="28"/>
        </w:rPr>
        <w:t>1、经研究</w:t>
      </w:r>
      <w:r>
        <w:rPr>
          <w:rFonts w:hint="eastAsia" w:cs="仿宋" w:asciiTheme="minorEastAsia" w:hAnsiTheme="minorEastAsia"/>
          <w:kern w:val="0"/>
          <w:sz w:val="28"/>
          <w:szCs w:val="28"/>
          <w:u w:val="single"/>
        </w:rPr>
        <w:t xml:space="preserve">                       </w:t>
      </w:r>
      <w:r>
        <w:rPr>
          <w:rFonts w:hint="eastAsia" w:cs="仿宋" w:asciiTheme="minorEastAsia" w:hAnsiTheme="minorEastAsia"/>
          <w:kern w:val="0"/>
          <w:sz w:val="28"/>
          <w:szCs w:val="28"/>
        </w:rPr>
        <w:t>后，我们愿意按人民币（大写</w:t>
      </w:r>
      <w:r>
        <w:rPr>
          <w:rFonts w:hint="eastAsia" w:cs="仿宋" w:asciiTheme="minorEastAsia" w:hAnsiTheme="minorEastAsia"/>
          <w:kern w:val="0"/>
          <w:sz w:val="28"/>
          <w:szCs w:val="28"/>
          <w:u w:val="single"/>
        </w:rPr>
        <w:t xml:space="preserve">                           </w:t>
      </w:r>
      <w:r>
        <w:rPr>
          <w:rFonts w:hint="eastAsia" w:cs="仿宋" w:asciiTheme="minorEastAsia" w:hAnsiTheme="minorEastAsia"/>
          <w:kern w:val="0"/>
          <w:sz w:val="28"/>
          <w:szCs w:val="28"/>
        </w:rPr>
        <w:t>元/</w:t>
      </w:r>
      <w:r>
        <w:rPr>
          <w:rFonts w:hint="eastAsia" w:cs="仿宋" w:asciiTheme="minorEastAsia" w:hAnsiTheme="minorEastAsia"/>
          <w:kern w:val="0"/>
          <w:sz w:val="28"/>
          <w:szCs w:val="28"/>
          <w:lang w:val="en-US" w:eastAsia="zh-CN"/>
        </w:rPr>
        <w:t>壹</w:t>
      </w:r>
      <w:r>
        <w:rPr>
          <w:rFonts w:hint="eastAsia" w:cs="仿宋" w:asciiTheme="minorEastAsia" w:hAnsiTheme="minorEastAsia"/>
          <w:kern w:val="0"/>
          <w:sz w:val="28"/>
          <w:szCs w:val="28"/>
        </w:rPr>
        <w:t>年） （小写</w:t>
      </w:r>
      <w:r>
        <w:rPr>
          <w:rFonts w:hint="eastAsia" w:cs="仿宋" w:asciiTheme="minorEastAsia" w:hAnsiTheme="minorEastAsia"/>
          <w:kern w:val="0"/>
          <w:sz w:val="28"/>
          <w:szCs w:val="28"/>
          <w:u w:val="single"/>
        </w:rPr>
        <w:t xml:space="preserve">        </w:t>
      </w:r>
      <w:r>
        <w:rPr>
          <w:rFonts w:hint="eastAsia" w:cs="仿宋" w:asciiTheme="minorEastAsia" w:hAnsiTheme="minorEastAsia"/>
          <w:kern w:val="0"/>
          <w:sz w:val="28"/>
          <w:szCs w:val="28"/>
        </w:rPr>
        <w:t>元/</w:t>
      </w:r>
      <w:r>
        <w:rPr>
          <w:rFonts w:hint="eastAsia" w:cs="仿宋" w:asciiTheme="minorEastAsia" w:hAnsiTheme="minorEastAsia"/>
          <w:kern w:val="0"/>
          <w:sz w:val="28"/>
          <w:szCs w:val="28"/>
          <w:lang w:val="en-US" w:eastAsia="zh-CN"/>
        </w:rPr>
        <w:t>壹</w:t>
      </w:r>
      <w:bookmarkStart w:id="1" w:name="_GoBack"/>
      <w:bookmarkEnd w:id="1"/>
      <w:r>
        <w:rPr>
          <w:rFonts w:hint="eastAsia" w:cs="仿宋" w:asciiTheme="minorEastAsia" w:hAnsiTheme="minorEastAsia"/>
          <w:kern w:val="0"/>
          <w:sz w:val="28"/>
          <w:szCs w:val="28"/>
        </w:rPr>
        <w:t>年）的投标总价，遵照招标文件（含补充文件）的要求承担本招标项目的实施，完成本次招标范围的全部项目内容及其售后服务工作。</w:t>
      </w:r>
    </w:p>
    <w:p w14:paraId="0B440D52">
      <w:pPr>
        <w:spacing w:line="600" w:lineRule="exact"/>
        <w:ind w:firstLine="560" w:firstLineChars="200"/>
        <w:rPr>
          <w:rFonts w:asciiTheme="minorEastAsia" w:hAnsiTheme="minorEastAsia"/>
          <w:sz w:val="28"/>
          <w:szCs w:val="28"/>
        </w:rPr>
      </w:pPr>
      <w:r>
        <w:rPr>
          <w:rFonts w:hint="eastAsia" w:asciiTheme="minorEastAsia" w:hAnsiTheme="minorEastAsia"/>
          <w:sz w:val="28"/>
          <w:szCs w:val="28"/>
          <w:highlight w:val="white"/>
        </w:rPr>
        <w:t xml:space="preserve">2、我方资质为 </w:t>
      </w:r>
      <w:r>
        <w:rPr>
          <w:rFonts w:hint="eastAsia" w:asciiTheme="minorEastAsia" w:hAnsiTheme="minorEastAsia"/>
          <w:sz w:val="28"/>
          <w:szCs w:val="28"/>
          <w:highlight w:val="white"/>
          <w:u w:val="single"/>
        </w:rPr>
        <w:t xml:space="preserve">             </w:t>
      </w:r>
      <w:r>
        <w:rPr>
          <w:rFonts w:hint="eastAsia" w:asciiTheme="minorEastAsia" w:hAnsiTheme="minorEastAsia"/>
          <w:sz w:val="28"/>
          <w:szCs w:val="28"/>
          <w:highlight w:val="white"/>
        </w:rPr>
        <w:t>。如我方中标，我方保证本项目不转包、分包。</w:t>
      </w:r>
    </w:p>
    <w:p w14:paraId="46F70285">
      <w:pPr>
        <w:spacing w:line="600" w:lineRule="exact"/>
        <w:ind w:firstLine="560" w:firstLineChars="200"/>
        <w:rPr>
          <w:rFonts w:asciiTheme="minorEastAsia" w:hAnsiTheme="minorEastAsia"/>
          <w:sz w:val="28"/>
          <w:szCs w:val="28"/>
        </w:rPr>
      </w:pPr>
      <w:r>
        <w:rPr>
          <w:rFonts w:hint="eastAsia" w:asciiTheme="minorEastAsia" w:hAnsiTheme="minorEastAsia"/>
          <w:sz w:val="28"/>
          <w:szCs w:val="28"/>
          <w:highlight w:val="white"/>
        </w:rPr>
        <w:t xml:space="preserve">3、如我方中标，我方拟派 </w:t>
      </w:r>
      <w:r>
        <w:rPr>
          <w:rFonts w:hint="eastAsia" w:asciiTheme="minorEastAsia" w:hAnsiTheme="minorEastAsia"/>
          <w:sz w:val="28"/>
          <w:szCs w:val="28"/>
          <w:highlight w:val="white"/>
          <w:u w:val="single"/>
        </w:rPr>
        <w:t xml:space="preserve">     </w:t>
      </w:r>
      <w:r>
        <w:rPr>
          <w:rFonts w:hint="eastAsia" w:asciiTheme="minorEastAsia" w:hAnsiTheme="minorEastAsia"/>
          <w:sz w:val="28"/>
          <w:szCs w:val="28"/>
          <w:highlight w:val="white"/>
        </w:rPr>
        <w:t>为本项目负责人，在本项目完成前不予变更。</w:t>
      </w:r>
    </w:p>
    <w:p w14:paraId="27454707">
      <w:pPr>
        <w:pStyle w:val="2"/>
        <w:spacing w:line="600" w:lineRule="exact"/>
        <w:ind w:firstLine="560" w:firstLineChars="200"/>
        <w:rPr>
          <w:rFonts w:asciiTheme="minorEastAsia" w:hAnsiTheme="minorEastAsia" w:eastAsiaTheme="minorEastAsia"/>
          <w:sz w:val="28"/>
          <w:szCs w:val="28"/>
          <w:highlight w:val="white"/>
        </w:rPr>
      </w:pPr>
      <w:r>
        <w:rPr>
          <w:rFonts w:hint="eastAsia" w:asciiTheme="minorEastAsia" w:hAnsiTheme="minorEastAsia" w:eastAsiaTheme="minorEastAsia"/>
          <w:sz w:val="28"/>
          <w:szCs w:val="28"/>
          <w:highlight w:val="white"/>
        </w:rPr>
        <w:t>4、我方承诺：我方至本项目评标日，未被列入最高人民法院 “失信被执行人名单”以及国家工商行政管理总局 “严重违法失信企业名单”和“黑名单”中（在一定期限内禁止参加依法进行的招标采购活动的行政处罚且在行政处罚期限内的）。</w:t>
      </w:r>
    </w:p>
    <w:p w14:paraId="31F29B02">
      <w:pPr>
        <w:pStyle w:val="2"/>
        <w:spacing w:line="0" w:lineRule="atLeast"/>
        <w:ind w:firstLine="560" w:firstLineChars="200"/>
        <w:rPr>
          <w:rFonts w:asciiTheme="minorEastAsia" w:hAnsiTheme="minorEastAsia" w:eastAsiaTheme="minorEastAsia"/>
          <w:sz w:val="28"/>
          <w:szCs w:val="28"/>
          <w:highlight w:val="white"/>
        </w:rPr>
      </w:pPr>
    </w:p>
    <w:p w14:paraId="7299B2CE">
      <w:pPr>
        <w:pStyle w:val="2"/>
        <w:spacing w:line="0" w:lineRule="atLeast"/>
        <w:ind w:firstLine="720"/>
        <w:rPr>
          <w:rFonts w:hint="eastAsia" w:asciiTheme="minorEastAsia" w:hAnsiTheme="minorEastAsia" w:eastAsiaTheme="minorEastAsia"/>
          <w:sz w:val="28"/>
          <w:szCs w:val="28"/>
          <w:highlight w:val="white"/>
        </w:rPr>
      </w:pPr>
    </w:p>
    <w:p w14:paraId="637993DA">
      <w:pPr>
        <w:pStyle w:val="2"/>
        <w:spacing w:line="0" w:lineRule="atLeast"/>
        <w:ind w:firstLine="720"/>
        <w:rPr>
          <w:rFonts w:hint="eastAsia" w:asciiTheme="minorEastAsia" w:hAnsiTheme="minorEastAsia" w:eastAsiaTheme="minorEastAsia"/>
          <w:sz w:val="28"/>
          <w:szCs w:val="28"/>
          <w:highlight w:val="white"/>
        </w:rPr>
      </w:pPr>
    </w:p>
    <w:p w14:paraId="1C04903F">
      <w:pPr>
        <w:pStyle w:val="2"/>
        <w:spacing w:line="0" w:lineRule="atLeast"/>
        <w:ind w:firstLine="720"/>
        <w:rPr>
          <w:rFonts w:asciiTheme="minorEastAsia" w:hAnsiTheme="minorEastAsia" w:eastAsiaTheme="minorEastAsia"/>
          <w:sz w:val="28"/>
          <w:szCs w:val="28"/>
        </w:rPr>
      </w:pPr>
      <w:r>
        <w:rPr>
          <w:rFonts w:hint="eastAsia" w:asciiTheme="minorEastAsia" w:hAnsiTheme="minorEastAsia" w:eastAsiaTheme="minorEastAsia"/>
          <w:sz w:val="28"/>
          <w:szCs w:val="28"/>
          <w:highlight w:val="white"/>
        </w:rPr>
        <w:t>投 标 人：           法人代表：（签字盖公章）</w:t>
      </w:r>
    </w:p>
    <w:p w14:paraId="3428C778">
      <w:pPr>
        <w:pStyle w:val="2"/>
        <w:spacing w:line="480" w:lineRule="auto"/>
        <w:ind w:firstLine="720"/>
        <w:rPr>
          <w:rFonts w:asciiTheme="minorEastAsia" w:hAnsiTheme="minorEastAsia" w:eastAsiaTheme="minorEastAsia"/>
          <w:sz w:val="28"/>
          <w:szCs w:val="28"/>
        </w:rPr>
      </w:pPr>
    </w:p>
    <w:p w14:paraId="13972F2D">
      <w:pPr>
        <w:pStyle w:val="2"/>
        <w:spacing w:line="480" w:lineRule="auto"/>
        <w:ind w:firstLine="720"/>
        <w:rPr>
          <w:rFonts w:ascii="宋体" w:hAnsi="宋体"/>
          <w:sz w:val="30"/>
          <w:szCs w:val="30"/>
        </w:rPr>
      </w:pPr>
    </w:p>
    <w:p w14:paraId="3697545E">
      <w:pPr>
        <w:pStyle w:val="2"/>
        <w:spacing w:line="480" w:lineRule="auto"/>
        <w:ind w:firstLine="720"/>
        <w:rPr>
          <w:rFonts w:ascii="宋体"/>
          <w:sz w:val="30"/>
          <w:szCs w:val="30"/>
        </w:rPr>
      </w:pPr>
    </w:p>
    <w:p w14:paraId="1B08A6E1">
      <w:pPr>
        <w:rPr>
          <w:rFonts w:ascii="Calibri"/>
          <w:szCs w:val="24"/>
        </w:rPr>
      </w:pPr>
    </w:p>
    <w:p w14:paraId="4F923F1B">
      <w:pPr>
        <w:rPr>
          <w:rFonts w:ascii="Calibri"/>
          <w:szCs w:val="24"/>
        </w:rPr>
      </w:pPr>
    </w:p>
    <w:p w14:paraId="46ACDF49">
      <w:pPr>
        <w:rPr>
          <w:rFonts w:ascii="Calibri"/>
          <w:szCs w:val="24"/>
        </w:rPr>
      </w:pPr>
    </w:p>
    <w:p w14:paraId="5A2CFCEA">
      <w:pPr>
        <w:rPr>
          <w:rFonts w:ascii="Calibri"/>
          <w:szCs w:val="24"/>
        </w:rPr>
      </w:pPr>
    </w:p>
    <w:p w14:paraId="1D5CE2D1">
      <w:pPr>
        <w:spacing w:line="560" w:lineRule="exact"/>
        <w:rPr>
          <w:rFonts w:ascii="宋体" w:hAnsi="宋体" w:cs="仿宋_GB2312"/>
          <w:sz w:val="28"/>
          <w:szCs w:val="28"/>
        </w:rPr>
      </w:pPr>
      <w:r>
        <w:rPr>
          <w:rFonts w:hint="eastAsia" w:ascii="宋体" w:hAnsi="宋体" w:cs="仿宋_GB2312"/>
          <w:sz w:val="28"/>
          <w:szCs w:val="28"/>
        </w:rPr>
        <w:t>附件2：</w:t>
      </w:r>
    </w:p>
    <w:p w14:paraId="103B73EF">
      <w:pPr>
        <w:widowControl/>
        <w:wordWrap w:val="0"/>
        <w:spacing w:line="560" w:lineRule="exact"/>
        <w:jc w:val="center"/>
        <w:rPr>
          <w:rFonts w:ascii="宋体" w:hAnsi="Calibri" w:cs="Times New Roman"/>
          <w:b/>
          <w:color w:val="000000"/>
          <w:kern w:val="0"/>
          <w:sz w:val="28"/>
          <w:szCs w:val="28"/>
          <w:highlight w:val="white"/>
        </w:rPr>
      </w:pPr>
      <w:r>
        <w:rPr>
          <w:rFonts w:hint="eastAsia" w:ascii="宋体" w:hAnsi="宋体"/>
          <w:b/>
          <w:color w:val="000000"/>
          <w:kern w:val="0"/>
          <w:sz w:val="28"/>
          <w:szCs w:val="28"/>
          <w:highlight w:val="white"/>
        </w:rPr>
        <w:t>法定代表人授权委托书</w:t>
      </w:r>
    </w:p>
    <w:p w14:paraId="449D86C0">
      <w:pPr>
        <w:widowControl/>
        <w:wordWrap w:val="0"/>
        <w:spacing w:line="560" w:lineRule="exact"/>
        <w:rPr>
          <w:rFonts w:ascii="仿宋_GB2312" w:hAnsi="宋体" w:eastAsia="仿宋_GB2312"/>
          <w:color w:val="000000"/>
          <w:kern w:val="0"/>
          <w:sz w:val="28"/>
          <w:szCs w:val="28"/>
          <w:highlight w:val="white"/>
        </w:rPr>
      </w:pPr>
    </w:p>
    <w:p w14:paraId="2BF88AB9">
      <w:pPr>
        <w:widowControl/>
        <w:spacing w:line="600" w:lineRule="exact"/>
        <w:ind w:firstLine="540" w:firstLineChars="200"/>
        <w:rPr>
          <w:rFonts w:ascii="宋体" w:hAnsi="宋体" w:eastAsia="宋体"/>
          <w:color w:val="000000"/>
          <w:kern w:val="0"/>
          <w:sz w:val="27"/>
          <w:szCs w:val="27"/>
        </w:rPr>
      </w:pPr>
      <w:r>
        <w:rPr>
          <w:rFonts w:hint="eastAsia" w:ascii="宋体" w:hAnsi="宋体"/>
          <w:color w:val="000000"/>
          <w:kern w:val="0"/>
          <w:sz w:val="27"/>
          <w:szCs w:val="27"/>
          <w:highlight w:val="white"/>
        </w:rPr>
        <w:t>本授权委托书申明，我</w:t>
      </w:r>
      <w:r>
        <w:rPr>
          <w:rFonts w:hint="eastAsia" w:ascii="宋体" w:hAnsi="宋体"/>
          <w:color w:val="000000"/>
          <w:kern w:val="0"/>
          <w:sz w:val="27"/>
          <w:szCs w:val="27"/>
          <w:highlight w:val="white"/>
          <w:u w:val="single"/>
        </w:rPr>
        <w:t xml:space="preserve">                   </w:t>
      </w:r>
      <w:r>
        <w:rPr>
          <w:rFonts w:hint="eastAsia" w:ascii="宋体" w:hAnsi="宋体"/>
          <w:color w:val="000000"/>
          <w:kern w:val="0"/>
          <w:sz w:val="27"/>
          <w:szCs w:val="27"/>
          <w:highlight w:val="white"/>
        </w:rPr>
        <w:t xml:space="preserve">(姓名)系 </w:t>
      </w:r>
      <w:r>
        <w:rPr>
          <w:rFonts w:hint="eastAsia" w:ascii="宋体" w:hAnsi="宋体"/>
          <w:color w:val="000000"/>
          <w:kern w:val="0"/>
          <w:sz w:val="27"/>
          <w:szCs w:val="27"/>
          <w:highlight w:val="white"/>
          <w:u w:val="single"/>
        </w:rPr>
        <w:t xml:space="preserve">                      </w:t>
      </w:r>
      <w:r>
        <w:rPr>
          <w:rFonts w:hint="eastAsia" w:ascii="宋体" w:hAnsi="宋体"/>
          <w:color w:val="000000"/>
          <w:kern w:val="0"/>
          <w:sz w:val="27"/>
          <w:szCs w:val="27"/>
          <w:highlight w:val="white"/>
        </w:rPr>
        <w:t> (投标人名称)的法定代表人，现授权委托</w:t>
      </w:r>
      <w:r>
        <w:rPr>
          <w:rFonts w:hint="eastAsia" w:ascii="宋体" w:hAnsi="宋体"/>
          <w:color w:val="000000"/>
          <w:kern w:val="0"/>
          <w:sz w:val="27"/>
          <w:szCs w:val="27"/>
          <w:highlight w:val="white"/>
          <w:u w:val="single"/>
        </w:rPr>
        <w:t>             </w:t>
      </w:r>
      <w:r>
        <w:rPr>
          <w:rFonts w:hint="eastAsia" w:ascii="宋体" w:hAnsi="宋体"/>
          <w:color w:val="000000"/>
          <w:kern w:val="0"/>
          <w:sz w:val="27"/>
          <w:szCs w:val="27"/>
          <w:highlight w:val="white"/>
        </w:rPr>
        <w:t xml:space="preserve"> (姓名) 为我方代理人，参加</w:t>
      </w:r>
      <w:r>
        <w:rPr>
          <w:rFonts w:hint="eastAsia" w:ascii="宋体" w:hAnsi="宋体"/>
          <w:color w:val="000000"/>
          <w:kern w:val="0"/>
          <w:sz w:val="27"/>
          <w:szCs w:val="27"/>
          <w:highlight w:val="white"/>
          <w:u w:val="single"/>
        </w:rPr>
        <w:t xml:space="preserve">              </w:t>
      </w:r>
      <w:r>
        <w:rPr>
          <w:rFonts w:hint="eastAsia" w:ascii="宋体" w:hAnsi="宋体"/>
          <w:color w:val="000000"/>
          <w:kern w:val="0"/>
          <w:sz w:val="27"/>
          <w:szCs w:val="27"/>
          <w:highlight w:val="white"/>
        </w:rPr>
        <w:t>(招标人名称)</w:t>
      </w:r>
      <w:r>
        <w:rPr>
          <w:rFonts w:hint="eastAsia" w:ascii="宋体" w:hAnsi="宋体"/>
          <w:color w:val="000000"/>
          <w:kern w:val="0"/>
          <w:sz w:val="27"/>
          <w:szCs w:val="27"/>
          <w:highlight w:val="white"/>
          <w:u w:val="single"/>
        </w:rPr>
        <w:t xml:space="preserve">                     </w:t>
      </w:r>
      <w:r>
        <w:rPr>
          <w:rFonts w:hint="eastAsia" w:ascii="宋体" w:hAnsi="宋体"/>
          <w:color w:val="000000"/>
          <w:kern w:val="0"/>
          <w:sz w:val="27"/>
          <w:szCs w:val="27"/>
          <w:highlight w:val="white"/>
        </w:rPr>
        <w:t xml:space="preserve"> (项目名称) 的投标活动。代理人在本项目的投标、开标、评标、合同谈判及合同的执行和保修保养时签署的一切文件和处理与之有关的一切事物，我均予以承认，并承担其法律后果。委托期限：自本委托书签发之日起，至本招标项目履约结束时止。</w:t>
      </w:r>
    </w:p>
    <w:p w14:paraId="59426D09">
      <w:pPr>
        <w:widowControl/>
        <w:spacing w:line="600" w:lineRule="exact"/>
        <w:ind w:firstLine="513" w:firstLineChars="190"/>
        <w:rPr>
          <w:rFonts w:ascii="宋体" w:hAnsi="宋体"/>
          <w:color w:val="000000"/>
          <w:kern w:val="0"/>
          <w:sz w:val="27"/>
          <w:szCs w:val="27"/>
        </w:rPr>
      </w:pPr>
      <w:r>
        <w:rPr>
          <w:rFonts w:hint="eastAsia" w:ascii="宋体" w:hAnsi="宋体"/>
          <w:color w:val="000000"/>
          <w:kern w:val="0"/>
          <w:sz w:val="27"/>
          <w:szCs w:val="27"/>
          <w:highlight w:val="white"/>
        </w:rPr>
        <w:t>代理人无转委托权，特此委托。</w:t>
      </w:r>
    </w:p>
    <w:p w14:paraId="323C5D49">
      <w:pPr>
        <w:widowControl/>
        <w:spacing w:line="600" w:lineRule="exact"/>
        <w:ind w:left="696" w:leftChars="267" w:hanging="135" w:hangingChars="50"/>
        <w:rPr>
          <w:rFonts w:ascii="宋体" w:hAnsi="宋体"/>
          <w:color w:val="000000"/>
          <w:kern w:val="0"/>
          <w:sz w:val="27"/>
          <w:szCs w:val="27"/>
          <w:highlight w:val="white"/>
        </w:rPr>
      </w:pPr>
      <w:r>
        <w:rPr>
          <w:rFonts w:hint="eastAsia" w:ascii="宋体" w:hAnsi="宋体"/>
          <w:color w:val="000000"/>
          <w:kern w:val="0"/>
          <w:sz w:val="27"/>
          <w:szCs w:val="27"/>
          <w:highlight w:val="white"/>
        </w:rPr>
        <w:t>代理人：</w:t>
      </w:r>
      <w:r>
        <w:rPr>
          <w:rFonts w:hint="eastAsia" w:ascii="宋体" w:hAnsi="宋体"/>
          <w:color w:val="000000"/>
          <w:kern w:val="0"/>
          <w:sz w:val="27"/>
          <w:szCs w:val="27"/>
          <w:highlight w:val="white"/>
          <w:u w:val="single"/>
        </w:rPr>
        <w:t>          </w:t>
      </w:r>
      <w:r>
        <w:rPr>
          <w:rFonts w:hint="eastAsia" w:ascii="宋体" w:hAnsi="宋体"/>
          <w:color w:val="000000"/>
          <w:kern w:val="0"/>
          <w:sz w:val="27"/>
          <w:szCs w:val="27"/>
          <w:highlight w:val="white"/>
        </w:rPr>
        <w:t>（ 纸质投标文件须盖章或签字）</w:t>
      </w:r>
    </w:p>
    <w:p w14:paraId="43367674">
      <w:pPr>
        <w:widowControl/>
        <w:spacing w:line="600" w:lineRule="exact"/>
        <w:ind w:firstLine="540" w:firstLineChars="200"/>
        <w:rPr>
          <w:rFonts w:ascii="宋体" w:hAnsi="宋体"/>
          <w:color w:val="000000"/>
          <w:kern w:val="0"/>
          <w:sz w:val="27"/>
          <w:szCs w:val="27"/>
        </w:rPr>
      </w:pPr>
      <w:r>
        <w:rPr>
          <w:rFonts w:hint="eastAsia" w:ascii="宋体" w:hAnsi="宋体"/>
          <w:color w:val="000000"/>
          <w:kern w:val="0"/>
          <w:sz w:val="27"/>
          <w:szCs w:val="27"/>
          <w:highlight w:val="white"/>
        </w:rPr>
        <w:t>代理人身份证号码：</w:t>
      </w:r>
      <w:r>
        <w:rPr>
          <w:rFonts w:hint="eastAsia" w:ascii="宋体" w:hAnsi="宋体"/>
          <w:color w:val="000000"/>
          <w:kern w:val="0"/>
          <w:sz w:val="27"/>
          <w:szCs w:val="27"/>
          <w:highlight w:val="white"/>
          <w:u w:val="single"/>
        </w:rPr>
        <w:t xml:space="preserve">                     </w:t>
      </w:r>
      <w:r>
        <w:rPr>
          <w:rFonts w:hint="eastAsia" w:ascii="宋体" w:hAnsi="宋体"/>
          <w:color w:val="000000"/>
          <w:kern w:val="0"/>
          <w:sz w:val="27"/>
          <w:szCs w:val="27"/>
          <w:highlight w:val="white"/>
        </w:rPr>
        <w:t> </w:t>
      </w:r>
    </w:p>
    <w:p w14:paraId="18F04E6F">
      <w:pPr>
        <w:widowControl/>
        <w:spacing w:line="600" w:lineRule="exact"/>
        <w:ind w:firstLine="540" w:firstLineChars="200"/>
        <w:rPr>
          <w:rFonts w:ascii="宋体" w:hAnsi="宋体"/>
          <w:color w:val="000000"/>
          <w:kern w:val="0"/>
          <w:sz w:val="27"/>
          <w:szCs w:val="27"/>
          <w:highlight w:val="white"/>
        </w:rPr>
      </w:pPr>
      <w:r>
        <w:rPr>
          <w:rFonts w:hint="eastAsia" w:ascii="宋体" w:hAnsi="宋体"/>
          <w:color w:val="000000"/>
          <w:kern w:val="0"/>
          <w:sz w:val="27"/>
          <w:szCs w:val="27"/>
          <w:highlight w:val="white"/>
        </w:rPr>
        <w:t xml:space="preserve">性别: </w:t>
      </w:r>
      <w:r>
        <w:rPr>
          <w:rFonts w:hint="eastAsia" w:ascii="宋体" w:hAnsi="宋体"/>
          <w:color w:val="000000"/>
          <w:kern w:val="0"/>
          <w:sz w:val="27"/>
          <w:szCs w:val="27"/>
          <w:highlight w:val="white"/>
          <w:u w:val="single"/>
        </w:rPr>
        <w:t xml:space="preserve">       </w:t>
      </w:r>
      <w:r>
        <w:rPr>
          <w:rFonts w:hint="eastAsia" w:ascii="宋体" w:hAnsi="宋体"/>
          <w:color w:val="000000"/>
          <w:kern w:val="0"/>
          <w:sz w:val="27"/>
          <w:szCs w:val="27"/>
          <w:highlight w:val="white"/>
        </w:rPr>
        <w:t> </w:t>
      </w:r>
    </w:p>
    <w:p w14:paraId="2868803F">
      <w:pPr>
        <w:widowControl/>
        <w:spacing w:line="600" w:lineRule="exact"/>
        <w:ind w:firstLine="540" w:firstLineChars="200"/>
        <w:rPr>
          <w:rFonts w:ascii="宋体" w:hAnsi="宋体"/>
          <w:color w:val="000000"/>
          <w:kern w:val="0"/>
          <w:sz w:val="27"/>
          <w:szCs w:val="27"/>
        </w:rPr>
      </w:pPr>
      <w:r>
        <w:rPr>
          <w:rFonts w:hint="eastAsia" w:ascii="宋体" w:hAnsi="宋体"/>
          <w:color w:val="000000"/>
          <w:kern w:val="0"/>
          <w:sz w:val="27"/>
          <w:szCs w:val="27"/>
          <w:highlight w:val="white"/>
        </w:rPr>
        <w:t>联系电话：</w:t>
      </w:r>
      <w:r>
        <w:rPr>
          <w:rFonts w:hint="eastAsia" w:ascii="宋体" w:hAnsi="宋体"/>
          <w:color w:val="000000"/>
          <w:kern w:val="0"/>
          <w:sz w:val="27"/>
          <w:szCs w:val="27"/>
          <w:highlight w:val="white"/>
          <w:u w:val="single"/>
        </w:rPr>
        <w:t xml:space="preserve">                   </w:t>
      </w:r>
      <w:r>
        <w:rPr>
          <w:rFonts w:hint="eastAsia" w:ascii="宋体" w:hAnsi="宋体"/>
          <w:color w:val="000000"/>
          <w:kern w:val="0"/>
          <w:sz w:val="27"/>
          <w:szCs w:val="27"/>
          <w:highlight w:val="white"/>
        </w:rPr>
        <w:t xml:space="preserve">  </w:t>
      </w:r>
    </w:p>
    <w:p w14:paraId="3F0E8230">
      <w:pPr>
        <w:widowControl/>
        <w:spacing w:line="600" w:lineRule="exact"/>
        <w:ind w:firstLine="540" w:firstLineChars="200"/>
        <w:rPr>
          <w:rFonts w:ascii="宋体" w:hAnsi="宋体"/>
          <w:color w:val="000000"/>
          <w:kern w:val="0"/>
          <w:sz w:val="27"/>
          <w:szCs w:val="27"/>
        </w:rPr>
      </w:pPr>
      <w:r>
        <w:rPr>
          <w:rFonts w:hint="eastAsia" w:ascii="宋体" w:hAnsi="宋体"/>
          <w:color w:val="000000"/>
          <w:kern w:val="0"/>
          <w:sz w:val="27"/>
          <w:szCs w:val="27"/>
          <w:highlight w:val="white"/>
        </w:rPr>
        <w:t>投标人：</w:t>
      </w:r>
      <w:r>
        <w:rPr>
          <w:rFonts w:hint="eastAsia" w:ascii="宋体" w:hAnsi="宋体"/>
          <w:color w:val="000000"/>
          <w:kern w:val="0"/>
          <w:sz w:val="27"/>
          <w:szCs w:val="27"/>
          <w:highlight w:val="white"/>
          <w:u w:val="single"/>
        </w:rPr>
        <w:t>             </w:t>
      </w:r>
      <w:r>
        <w:rPr>
          <w:rFonts w:hint="eastAsia" w:ascii="宋体" w:hAnsi="宋体"/>
          <w:color w:val="000000"/>
          <w:kern w:val="0"/>
          <w:sz w:val="27"/>
          <w:szCs w:val="27"/>
          <w:highlight w:val="white"/>
        </w:rPr>
        <w:t> （ 纸质投标文件须盖章）</w:t>
      </w:r>
    </w:p>
    <w:p w14:paraId="0C9C574B">
      <w:pPr>
        <w:widowControl/>
        <w:spacing w:line="600" w:lineRule="exact"/>
        <w:ind w:firstLine="540" w:firstLineChars="200"/>
        <w:rPr>
          <w:rFonts w:ascii="宋体" w:hAnsi="宋体"/>
          <w:color w:val="000000"/>
          <w:kern w:val="0"/>
          <w:sz w:val="27"/>
          <w:szCs w:val="27"/>
        </w:rPr>
      </w:pPr>
      <w:r>
        <w:rPr>
          <w:rFonts w:hint="eastAsia" w:ascii="宋体" w:hAnsi="宋体"/>
          <w:color w:val="000000"/>
          <w:kern w:val="0"/>
          <w:sz w:val="27"/>
          <w:szCs w:val="27"/>
          <w:highlight w:val="white"/>
        </w:rPr>
        <w:t>法人代表：</w:t>
      </w:r>
      <w:r>
        <w:rPr>
          <w:rFonts w:hint="eastAsia" w:ascii="宋体" w:hAnsi="宋体"/>
          <w:color w:val="000000"/>
          <w:kern w:val="0"/>
          <w:sz w:val="27"/>
          <w:szCs w:val="27"/>
          <w:highlight w:val="white"/>
          <w:u w:val="single"/>
        </w:rPr>
        <w:t>       </w:t>
      </w:r>
      <w:r>
        <w:rPr>
          <w:rFonts w:hint="eastAsia" w:ascii="宋体" w:hAnsi="宋体"/>
          <w:color w:val="000000"/>
          <w:kern w:val="0"/>
          <w:sz w:val="27"/>
          <w:szCs w:val="27"/>
          <w:highlight w:val="white"/>
        </w:rPr>
        <w:t>（ 纸质投标文件须盖章或签字）</w:t>
      </w:r>
    </w:p>
    <w:p w14:paraId="7F191B3B">
      <w:pPr>
        <w:widowControl/>
        <w:spacing w:line="600" w:lineRule="exact"/>
        <w:ind w:firstLine="540" w:firstLineChars="200"/>
        <w:rPr>
          <w:rFonts w:ascii="宋体" w:hAnsi="宋体"/>
          <w:color w:val="000000"/>
          <w:kern w:val="0"/>
          <w:sz w:val="27"/>
          <w:szCs w:val="27"/>
        </w:rPr>
      </w:pPr>
      <w:r>
        <w:rPr>
          <w:rFonts w:hint="eastAsia" w:ascii="宋体" w:hAnsi="宋体"/>
          <w:color w:val="000000"/>
          <w:kern w:val="0"/>
          <w:sz w:val="27"/>
          <w:szCs w:val="27"/>
          <w:highlight w:val="white"/>
        </w:rPr>
        <w:t>法人代表身份证号码：</w:t>
      </w:r>
      <w:r>
        <w:rPr>
          <w:rFonts w:hint="eastAsia" w:ascii="宋体" w:hAnsi="宋体"/>
          <w:color w:val="000000"/>
          <w:kern w:val="0"/>
          <w:sz w:val="27"/>
          <w:szCs w:val="27"/>
          <w:highlight w:val="white"/>
          <w:u w:val="single"/>
        </w:rPr>
        <w:t>           </w:t>
      </w:r>
    </w:p>
    <w:p w14:paraId="6ADE4858">
      <w:pPr>
        <w:spacing w:line="600" w:lineRule="exact"/>
        <w:ind w:firstLine="540" w:firstLineChars="200"/>
        <w:rPr>
          <w:rFonts w:ascii="宋体" w:hAnsi="宋体"/>
          <w:color w:val="000000"/>
          <w:kern w:val="0"/>
          <w:sz w:val="27"/>
          <w:szCs w:val="27"/>
          <w:highlight w:val="white"/>
        </w:rPr>
      </w:pPr>
      <w:r>
        <w:rPr>
          <w:rFonts w:hint="eastAsia" w:ascii="宋体" w:hAnsi="宋体"/>
          <w:color w:val="000000"/>
          <w:kern w:val="0"/>
          <w:sz w:val="27"/>
          <w:szCs w:val="27"/>
          <w:highlight w:val="white"/>
        </w:rPr>
        <w:t>附代理人身份证复印件</w:t>
      </w:r>
    </w:p>
    <w:p w14:paraId="64A5F643">
      <w:pPr>
        <w:spacing w:line="600" w:lineRule="exact"/>
        <w:jc w:val="right"/>
        <w:rPr>
          <w:rFonts w:ascii="宋体" w:hAnsi="宋体"/>
          <w:color w:val="000000"/>
          <w:sz w:val="27"/>
          <w:szCs w:val="27"/>
        </w:rPr>
      </w:pPr>
      <w:r>
        <w:rPr>
          <w:rFonts w:hint="eastAsia" w:ascii="宋体" w:hAnsi="宋体"/>
          <w:color w:val="000000"/>
          <w:kern w:val="0"/>
          <w:sz w:val="27"/>
          <w:szCs w:val="27"/>
          <w:highlight w:val="white"/>
        </w:rPr>
        <w:t>签发日期:</w:t>
      </w:r>
      <w:r>
        <w:rPr>
          <w:rFonts w:hint="eastAsia" w:ascii="宋体" w:hAnsi="宋体"/>
          <w:color w:val="000000"/>
          <w:kern w:val="0"/>
          <w:sz w:val="27"/>
          <w:szCs w:val="27"/>
          <w:highlight w:val="white"/>
          <w:u w:val="single"/>
        </w:rPr>
        <w:t>     年    月   日</w:t>
      </w:r>
    </w:p>
    <w:p w14:paraId="6DABE067">
      <w:pPr>
        <w:spacing w:line="0" w:lineRule="atLeast"/>
        <w:rPr>
          <w:rFonts w:ascii="Calibri"/>
          <w:szCs w:val="24"/>
        </w:rPr>
      </w:pPr>
    </w:p>
    <w:p w14:paraId="19D6FB88">
      <w:pPr>
        <w:jc w:val="left"/>
        <w:rPr>
          <w:rFonts w:hint="eastAsia" w:ascii="仿宋" w:hAnsi="仿宋" w:eastAsia="仿宋" w:cs="仿宋"/>
          <w:sz w:val="28"/>
          <w:szCs w:val="28"/>
        </w:rPr>
      </w:pPr>
      <w:r>
        <w:rPr>
          <w:rFonts w:hint="eastAsia" w:ascii="仿宋" w:hAnsi="仿宋" w:eastAsia="仿宋" w:cs="仿宋"/>
          <w:sz w:val="28"/>
          <w:szCs w:val="28"/>
        </w:rPr>
        <w:t>附件3：</w:t>
      </w:r>
    </w:p>
    <w:tbl>
      <w:tblPr>
        <w:tblStyle w:val="7"/>
        <w:tblpPr w:leftFromText="180" w:rightFromText="180" w:vertAnchor="text" w:horzAnchor="page" w:tblpX="1061" w:tblpY="1116"/>
        <w:tblOverlap w:val="never"/>
        <w:tblW w:w="10185" w:type="dxa"/>
        <w:tblInd w:w="0" w:type="dxa"/>
        <w:tblLayout w:type="autofit"/>
        <w:tblCellMar>
          <w:top w:w="0" w:type="dxa"/>
          <w:left w:w="0" w:type="dxa"/>
          <w:bottom w:w="0" w:type="dxa"/>
          <w:right w:w="0" w:type="dxa"/>
        </w:tblCellMar>
      </w:tblPr>
      <w:tblGrid>
        <w:gridCol w:w="615"/>
        <w:gridCol w:w="3900"/>
        <w:gridCol w:w="2183"/>
        <w:gridCol w:w="2077"/>
        <w:gridCol w:w="1410"/>
      </w:tblGrid>
      <w:tr w14:paraId="7EDD9023">
        <w:tblPrEx>
          <w:tblCellMar>
            <w:top w:w="0" w:type="dxa"/>
            <w:left w:w="0" w:type="dxa"/>
            <w:bottom w:w="0" w:type="dxa"/>
            <w:right w:w="0" w:type="dxa"/>
          </w:tblCellMar>
        </w:tblPrEx>
        <w:trPr>
          <w:trHeight w:val="700" w:hRule="atLeast"/>
        </w:trPr>
        <w:tc>
          <w:tcPr>
            <w:tcW w:w="10185" w:type="dxa"/>
            <w:gridSpan w:val="5"/>
            <w:tcMar>
              <w:top w:w="15" w:type="dxa"/>
              <w:left w:w="15" w:type="dxa"/>
              <w:bottom w:w="0" w:type="dxa"/>
              <w:right w:w="15" w:type="dxa"/>
            </w:tcMar>
            <w:vAlign w:val="center"/>
          </w:tcPr>
          <w:p w14:paraId="344DFA2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val="en-US" w:eastAsia="zh-CN"/>
              </w:rPr>
              <w:t>苏州市吴江区八都学校</w:t>
            </w:r>
            <w:r>
              <w:rPr>
                <w:rFonts w:hint="eastAsia" w:ascii="仿宋" w:hAnsi="仿宋" w:eastAsia="仿宋" w:cs="仿宋"/>
                <w:color w:val="000000"/>
                <w:kern w:val="0"/>
                <w:szCs w:val="21"/>
              </w:rPr>
              <w:t>绿化养护</w:t>
            </w:r>
            <w:r>
              <w:rPr>
                <w:rFonts w:hint="eastAsia" w:ascii="仿宋" w:hAnsi="仿宋" w:eastAsia="仿宋" w:cs="仿宋"/>
                <w:color w:val="000000"/>
                <w:kern w:val="0"/>
                <w:szCs w:val="21"/>
                <w:lang w:eastAsia="zh-CN"/>
              </w:rPr>
              <w:t>招标</w:t>
            </w:r>
            <w:r>
              <w:rPr>
                <w:rFonts w:hint="eastAsia" w:ascii="仿宋" w:hAnsi="仿宋" w:eastAsia="仿宋" w:cs="仿宋"/>
                <w:color w:val="000000"/>
                <w:kern w:val="0"/>
                <w:szCs w:val="21"/>
              </w:rPr>
              <w:t>评分表</w:t>
            </w:r>
          </w:p>
        </w:tc>
      </w:tr>
      <w:tr w14:paraId="4690E0FD">
        <w:tblPrEx>
          <w:tblCellMar>
            <w:top w:w="0" w:type="dxa"/>
            <w:left w:w="0" w:type="dxa"/>
            <w:bottom w:w="0" w:type="dxa"/>
            <w:right w:w="0" w:type="dxa"/>
          </w:tblCellMar>
        </w:tblPrEx>
        <w:trPr>
          <w:gridAfter w:val="1"/>
          <w:wAfter w:w="1410" w:type="dxa"/>
          <w:trHeight w:val="800" w:hRule="atLeast"/>
        </w:trPr>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9D9B7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条目</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DA487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内容</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76D35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分值</w:t>
            </w:r>
          </w:p>
        </w:tc>
        <w:tc>
          <w:tcPr>
            <w:tcW w:w="207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A7B61A">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eastAsia="zh-CN"/>
              </w:rPr>
              <w:t>得分</w:t>
            </w:r>
          </w:p>
        </w:tc>
      </w:tr>
      <w:tr w14:paraId="3F25DBDC">
        <w:tblPrEx>
          <w:tblCellMar>
            <w:top w:w="0" w:type="dxa"/>
            <w:left w:w="0" w:type="dxa"/>
            <w:bottom w:w="0" w:type="dxa"/>
            <w:right w:w="0" w:type="dxa"/>
          </w:tblCellMar>
        </w:tblPrEx>
        <w:trPr>
          <w:gridAfter w:val="1"/>
          <w:wAfter w:w="1410" w:type="dxa"/>
          <w:trHeight w:val="540" w:hRule="atLeast"/>
        </w:trPr>
        <w:tc>
          <w:tcPr>
            <w:tcW w:w="61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6D61A9C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390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635B936B">
            <w:pPr>
              <w:widowControl/>
              <w:jc w:val="left"/>
              <w:textAlignment w:val="center"/>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投标人资质</w:t>
            </w:r>
          </w:p>
        </w:tc>
        <w:tc>
          <w:tcPr>
            <w:tcW w:w="2183"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38C30F48">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val="en-US" w:eastAsia="zh-CN"/>
              </w:rPr>
              <w:t>1</w:t>
            </w:r>
          </w:p>
        </w:tc>
        <w:tc>
          <w:tcPr>
            <w:tcW w:w="207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20634935">
            <w:pPr>
              <w:widowControl/>
              <w:jc w:val="center"/>
              <w:textAlignment w:val="center"/>
              <w:rPr>
                <w:rFonts w:ascii="仿宋" w:hAnsi="仿宋" w:eastAsia="仿宋" w:cs="仿宋"/>
                <w:color w:val="000000"/>
                <w:szCs w:val="21"/>
              </w:rPr>
            </w:pPr>
          </w:p>
        </w:tc>
      </w:tr>
      <w:tr w14:paraId="2BFB24AD">
        <w:tblPrEx>
          <w:tblCellMar>
            <w:top w:w="0" w:type="dxa"/>
            <w:left w:w="0" w:type="dxa"/>
            <w:bottom w:w="0" w:type="dxa"/>
            <w:right w:w="0" w:type="dxa"/>
          </w:tblCellMar>
        </w:tblPrEx>
        <w:trPr>
          <w:gridAfter w:val="1"/>
          <w:wAfter w:w="1410" w:type="dxa"/>
          <w:trHeight w:val="510" w:hRule="atLeast"/>
        </w:trPr>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BAB79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7B8200">
            <w:pPr>
              <w:widowControl/>
              <w:jc w:val="left"/>
              <w:textAlignment w:val="center"/>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投标单位业绩</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58079E">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val="en-US" w:eastAsia="zh-CN"/>
              </w:rPr>
              <w:t>2</w:t>
            </w:r>
          </w:p>
        </w:tc>
        <w:tc>
          <w:tcPr>
            <w:tcW w:w="207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B7FCD1">
            <w:pPr>
              <w:widowControl/>
              <w:jc w:val="center"/>
              <w:textAlignment w:val="center"/>
              <w:rPr>
                <w:rFonts w:ascii="仿宋" w:hAnsi="仿宋" w:eastAsia="仿宋" w:cs="仿宋"/>
                <w:color w:val="000000"/>
                <w:szCs w:val="21"/>
              </w:rPr>
            </w:pPr>
          </w:p>
        </w:tc>
      </w:tr>
      <w:tr w14:paraId="568E3D88">
        <w:tblPrEx>
          <w:tblCellMar>
            <w:top w:w="0" w:type="dxa"/>
            <w:left w:w="0" w:type="dxa"/>
            <w:bottom w:w="0" w:type="dxa"/>
            <w:right w:w="0" w:type="dxa"/>
          </w:tblCellMar>
        </w:tblPrEx>
        <w:trPr>
          <w:gridAfter w:val="1"/>
          <w:wAfter w:w="1410" w:type="dxa"/>
          <w:trHeight w:val="540" w:hRule="atLeast"/>
        </w:trPr>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102BE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CDD22D">
            <w:pPr>
              <w:widowControl/>
              <w:jc w:val="left"/>
              <w:textAlignment w:val="center"/>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项目服务内容</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A49EE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207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9EEF7C">
            <w:pPr>
              <w:widowControl/>
              <w:jc w:val="center"/>
              <w:textAlignment w:val="center"/>
              <w:rPr>
                <w:rFonts w:ascii="仿宋" w:hAnsi="仿宋" w:eastAsia="仿宋" w:cs="仿宋"/>
                <w:color w:val="000000"/>
                <w:szCs w:val="21"/>
              </w:rPr>
            </w:pPr>
          </w:p>
        </w:tc>
      </w:tr>
      <w:tr w14:paraId="61C6B5D5">
        <w:tblPrEx>
          <w:tblCellMar>
            <w:top w:w="0" w:type="dxa"/>
            <w:left w:w="0" w:type="dxa"/>
            <w:bottom w:w="0" w:type="dxa"/>
            <w:right w:w="0" w:type="dxa"/>
          </w:tblCellMar>
        </w:tblPrEx>
        <w:trPr>
          <w:gridAfter w:val="1"/>
          <w:wAfter w:w="1410" w:type="dxa"/>
          <w:trHeight w:val="540" w:hRule="atLeast"/>
        </w:trPr>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62D769">
            <w:pPr>
              <w:widowControl/>
              <w:jc w:val="center"/>
              <w:textAlignment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4</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799237">
            <w:pPr>
              <w:widowControl/>
              <w:jc w:val="left"/>
              <w:textAlignment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eastAsia="zh-CN"/>
              </w:rPr>
              <w:t>项目报价</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A1B163">
            <w:pPr>
              <w:widowControl/>
              <w:jc w:val="center"/>
              <w:textAlignment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5</w:t>
            </w:r>
          </w:p>
        </w:tc>
        <w:tc>
          <w:tcPr>
            <w:tcW w:w="207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276239">
            <w:pPr>
              <w:widowControl/>
              <w:jc w:val="center"/>
              <w:textAlignment w:val="center"/>
              <w:rPr>
                <w:rFonts w:ascii="仿宋" w:hAnsi="仿宋" w:eastAsia="仿宋" w:cs="仿宋"/>
                <w:color w:val="000000"/>
                <w:szCs w:val="21"/>
              </w:rPr>
            </w:pPr>
          </w:p>
        </w:tc>
      </w:tr>
    </w:tbl>
    <w:p w14:paraId="080DE4F2"/>
    <w:p w14:paraId="7D2E7030">
      <w:pPr>
        <w:jc w:val="left"/>
        <w:rPr>
          <w:rFonts w:hint="eastAsia" w:ascii="仿宋" w:hAnsi="仿宋" w:eastAsia="仿宋" w:cs="仿宋"/>
          <w:sz w:val="28"/>
          <w:szCs w:val="28"/>
        </w:rPr>
      </w:pPr>
    </w:p>
    <w:p w14:paraId="2377E731">
      <w:pPr>
        <w:jc w:val="left"/>
        <w:rPr>
          <w:rFonts w:hint="eastAsia" w:ascii="仿宋" w:hAnsi="仿宋" w:eastAsia="仿宋" w:cs="仿宋"/>
          <w:sz w:val="28"/>
          <w:szCs w:val="28"/>
        </w:rPr>
      </w:pPr>
    </w:p>
    <w:p w14:paraId="77C55F96">
      <w:pPr>
        <w:jc w:val="left"/>
        <w:rPr>
          <w:rFonts w:hint="eastAsia" w:ascii="仿宋" w:hAnsi="仿宋" w:eastAsia="仿宋" w:cs="仿宋"/>
          <w:sz w:val="28"/>
          <w:szCs w:val="28"/>
        </w:rPr>
      </w:pPr>
    </w:p>
    <w:p w14:paraId="08020ECA">
      <w:pPr>
        <w:jc w:val="left"/>
        <w:rPr>
          <w:rFonts w:hint="eastAsia" w:ascii="仿宋" w:hAnsi="仿宋" w:eastAsia="仿宋" w:cs="仿宋"/>
          <w:sz w:val="28"/>
          <w:szCs w:val="28"/>
        </w:rPr>
      </w:pPr>
    </w:p>
    <w:p w14:paraId="02AC30B4">
      <w:pPr>
        <w:jc w:val="left"/>
        <w:rPr>
          <w:rFonts w:hint="eastAsia" w:ascii="仿宋" w:hAnsi="仿宋" w:eastAsia="仿宋" w:cs="仿宋"/>
          <w:sz w:val="28"/>
          <w:szCs w:val="28"/>
        </w:rPr>
      </w:pPr>
    </w:p>
    <w:p w14:paraId="583E7286">
      <w:pPr>
        <w:jc w:val="left"/>
        <w:rPr>
          <w:rFonts w:hint="eastAsia" w:ascii="仿宋" w:hAnsi="仿宋" w:eastAsia="仿宋" w:cs="仿宋"/>
          <w:sz w:val="28"/>
          <w:szCs w:val="28"/>
        </w:rPr>
      </w:pPr>
    </w:p>
    <w:p w14:paraId="3D113112">
      <w:pPr>
        <w:jc w:val="left"/>
        <w:rPr>
          <w:rFonts w:hint="eastAsia" w:ascii="仿宋" w:hAnsi="仿宋" w:eastAsia="仿宋" w:cs="仿宋"/>
          <w:sz w:val="28"/>
          <w:szCs w:val="28"/>
        </w:rPr>
      </w:pPr>
    </w:p>
    <w:p w14:paraId="1E9E62AC">
      <w:pPr>
        <w:jc w:val="left"/>
        <w:rPr>
          <w:rFonts w:hint="eastAsia" w:ascii="仿宋" w:hAnsi="仿宋" w:eastAsia="仿宋" w:cs="仿宋"/>
          <w:sz w:val="28"/>
          <w:szCs w:val="28"/>
        </w:rPr>
      </w:pPr>
    </w:p>
    <w:p w14:paraId="273B1377">
      <w:pPr>
        <w:jc w:val="left"/>
        <w:rPr>
          <w:rFonts w:hint="eastAsia" w:ascii="仿宋" w:hAnsi="仿宋" w:eastAsia="仿宋" w:cs="仿宋"/>
          <w:sz w:val="28"/>
          <w:szCs w:val="28"/>
        </w:rPr>
      </w:pPr>
    </w:p>
    <w:p w14:paraId="29E4D553">
      <w:pPr>
        <w:jc w:val="left"/>
        <w:rPr>
          <w:rFonts w:hint="eastAsia" w:ascii="仿宋" w:hAnsi="仿宋" w:eastAsia="仿宋" w:cs="仿宋"/>
          <w:sz w:val="28"/>
          <w:szCs w:val="28"/>
        </w:rPr>
      </w:pPr>
    </w:p>
    <w:p w14:paraId="6FD57CE9">
      <w:pPr>
        <w:jc w:val="left"/>
        <w:rPr>
          <w:rFonts w:hint="eastAsia" w:ascii="仿宋" w:hAnsi="仿宋" w:eastAsia="仿宋" w:cs="仿宋"/>
          <w:sz w:val="28"/>
          <w:szCs w:val="28"/>
        </w:rPr>
      </w:pPr>
    </w:p>
    <w:p w14:paraId="1B32F249">
      <w:pPr>
        <w:jc w:val="left"/>
        <w:rPr>
          <w:rFonts w:hint="eastAsia" w:ascii="仿宋" w:hAnsi="仿宋" w:eastAsia="仿宋" w:cs="仿宋"/>
          <w:sz w:val="28"/>
          <w:szCs w:val="28"/>
        </w:rPr>
      </w:pPr>
    </w:p>
    <w:p w14:paraId="5412C701">
      <w:pPr>
        <w:jc w:val="left"/>
        <w:rPr>
          <w:rFonts w:hint="eastAsia" w:ascii="仿宋" w:hAnsi="仿宋" w:eastAsia="仿宋" w:cs="仿宋"/>
          <w:sz w:val="28"/>
          <w:szCs w:val="28"/>
        </w:rPr>
      </w:pPr>
    </w:p>
    <w:p w14:paraId="73CD09CA">
      <w:pPr>
        <w:jc w:val="left"/>
        <w:rPr>
          <w:rFonts w:hint="eastAsia" w:ascii="仿宋" w:hAnsi="仿宋" w:eastAsia="仿宋" w:cs="仿宋"/>
          <w:sz w:val="28"/>
          <w:szCs w:val="28"/>
        </w:rPr>
      </w:pPr>
    </w:p>
    <w:p w14:paraId="60385F83">
      <w:pPr>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tbl>
      <w:tblPr>
        <w:tblStyle w:val="7"/>
        <w:tblpPr w:leftFromText="180" w:rightFromText="180" w:vertAnchor="text" w:horzAnchor="page" w:tblpX="1061" w:tblpY="1116"/>
        <w:tblOverlap w:val="never"/>
        <w:tblW w:w="10185" w:type="dxa"/>
        <w:tblInd w:w="0" w:type="dxa"/>
        <w:tblLayout w:type="autofit"/>
        <w:tblCellMar>
          <w:top w:w="0" w:type="dxa"/>
          <w:left w:w="0" w:type="dxa"/>
          <w:bottom w:w="0" w:type="dxa"/>
          <w:right w:w="0" w:type="dxa"/>
        </w:tblCellMar>
      </w:tblPr>
      <w:tblGrid>
        <w:gridCol w:w="540"/>
        <w:gridCol w:w="870"/>
        <w:gridCol w:w="615"/>
        <w:gridCol w:w="3900"/>
        <w:gridCol w:w="3540"/>
        <w:gridCol w:w="720"/>
      </w:tblGrid>
      <w:tr w14:paraId="7A267ECD">
        <w:tblPrEx>
          <w:tblCellMar>
            <w:top w:w="0" w:type="dxa"/>
            <w:left w:w="0" w:type="dxa"/>
            <w:bottom w:w="0" w:type="dxa"/>
            <w:right w:w="0" w:type="dxa"/>
          </w:tblCellMar>
        </w:tblPrEx>
        <w:trPr>
          <w:trHeight w:val="700" w:hRule="atLeast"/>
        </w:trPr>
        <w:tc>
          <w:tcPr>
            <w:tcW w:w="10185" w:type="dxa"/>
            <w:gridSpan w:val="6"/>
            <w:tcMar>
              <w:top w:w="15" w:type="dxa"/>
              <w:left w:w="15" w:type="dxa"/>
              <w:bottom w:w="0" w:type="dxa"/>
              <w:right w:w="15" w:type="dxa"/>
            </w:tcMar>
            <w:vAlign w:val="center"/>
          </w:tcPr>
          <w:p w14:paraId="1D7A3A1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val="en-US" w:eastAsia="zh-CN"/>
              </w:rPr>
              <w:t>苏州市吴江区八都学校</w:t>
            </w:r>
            <w:r>
              <w:rPr>
                <w:rFonts w:hint="eastAsia" w:ascii="仿宋" w:hAnsi="仿宋" w:eastAsia="仿宋" w:cs="仿宋"/>
                <w:color w:val="000000"/>
                <w:kern w:val="0"/>
                <w:szCs w:val="21"/>
              </w:rPr>
              <w:t>绿化养护考核评分表</w:t>
            </w:r>
          </w:p>
        </w:tc>
      </w:tr>
      <w:tr w14:paraId="7D772A40">
        <w:tblPrEx>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72482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序号</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2BBE2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分项</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3C2EA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条目</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10A69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考核内容及管护要求</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CB7D0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打分细则</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64508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分值</w:t>
            </w:r>
          </w:p>
        </w:tc>
      </w:tr>
      <w:tr w14:paraId="4E46D6DC">
        <w:tblPrEx>
          <w:tblCellMar>
            <w:top w:w="0" w:type="dxa"/>
            <w:left w:w="0" w:type="dxa"/>
            <w:bottom w:w="0" w:type="dxa"/>
            <w:right w:w="0" w:type="dxa"/>
          </w:tblCellMar>
        </w:tblPrEx>
        <w:trPr>
          <w:trHeight w:val="540" w:hRule="atLeast"/>
        </w:trPr>
        <w:tc>
          <w:tcPr>
            <w:tcW w:w="540"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418DD38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870"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4344606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绿地环境</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6分</w:t>
            </w:r>
          </w:p>
        </w:tc>
        <w:tc>
          <w:tcPr>
            <w:tcW w:w="61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3F6CC79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390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0F19DF94">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绿地整洁、无废弃物，植物叶面无陈旧积尘</w:t>
            </w:r>
          </w:p>
        </w:tc>
        <w:tc>
          <w:tcPr>
            <w:tcW w:w="354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797F859E">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有一项内容达不到要求，扣1分，扣完为止</w:t>
            </w:r>
          </w:p>
        </w:tc>
        <w:tc>
          <w:tcPr>
            <w:tcW w:w="72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32B570B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r>
      <w:tr w14:paraId="549A179B">
        <w:tblPrEx>
          <w:tblCellMar>
            <w:top w:w="0" w:type="dxa"/>
            <w:left w:w="0" w:type="dxa"/>
            <w:bottom w:w="0" w:type="dxa"/>
            <w:right w:w="0" w:type="dxa"/>
          </w:tblCellMar>
        </w:tblPrEx>
        <w:trPr>
          <w:trHeight w:val="810" w:hRule="atLeast"/>
        </w:trPr>
        <w:tc>
          <w:tcPr>
            <w:tcW w:w="540" w:type="dxa"/>
            <w:vMerge w:val="continue"/>
            <w:tcBorders>
              <w:top w:val="nil"/>
              <w:left w:val="single" w:color="000000" w:sz="4" w:space="0"/>
              <w:bottom w:val="single" w:color="000000" w:sz="4" w:space="0"/>
              <w:right w:val="single" w:color="000000" w:sz="4" w:space="0"/>
            </w:tcBorders>
            <w:vAlign w:val="center"/>
          </w:tcPr>
          <w:p w14:paraId="2FAD1A48">
            <w:pPr>
              <w:widowControl/>
              <w:jc w:val="left"/>
              <w:rPr>
                <w:rFonts w:ascii="仿宋" w:hAnsi="仿宋" w:eastAsia="仿宋" w:cs="仿宋"/>
                <w:color w:val="000000"/>
                <w:szCs w:val="21"/>
              </w:rPr>
            </w:pPr>
          </w:p>
        </w:tc>
        <w:tc>
          <w:tcPr>
            <w:tcW w:w="870" w:type="dxa"/>
            <w:vMerge w:val="continue"/>
            <w:tcBorders>
              <w:top w:val="nil"/>
              <w:left w:val="single" w:color="000000" w:sz="4" w:space="0"/>
              <w:bottom w:val="single" w:color="000000" w:sz="4" w:space="0"/>
              <w:right w:val="single" w:color="000000" w:sz="4" w:space="0"/>
            </w:tcBorders>
            <w:vAlign w:val="center"/>
          </w:tcPr>
          <w:p w14:paraId="7C935EBD">
            <w:pPr>
              <w:widowControl/>
              <w:jc w:val="left"/>
              <w:rPr>
                <w:rFonts w:ascii="仿宋" w:hAnsi="仿宋" w:eastAsia="仿宋" w:cs="仿宋"/>
                <w:color w:val="000000"/>
                <w:szCs w:val="21"/>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976DA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895BDD">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绿地生产垃圾（树枝、树叶、草屑等），一级养护随产随清；二级养护日产日清</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BFB933">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有一项内容达不到要求，扣1分，扣完为止</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3EFAB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r>
      <w:tr w14:paraId="2D586E44">
        <w:tblPrEx>
          <w:tblCellMar>
            <w:top w:w="0" w:type="dxa"/>
            <w:left w:w="0" w:type="dxa"/>
            <w:bottom w:w="0" w:type="dxa"/>
            <w:right w:w="0" w:type="dxa"/>
          </w:tblCellMar>
        </w:tblPrEx>
        <w:trPr>
          <w:trHeight w:val="540" w:hRule="atLeast"/>
        </w:trPr>
        <w:tc>
          <w:tcPr>
            <w:tcW w:w="54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0A21B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87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557F8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设施维修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5分</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7772D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46027D">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绿化景点标示指示牌等公共设施整洁完好，维护及时</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B85005">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发现一处扣1分，扣完为止</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88444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r>
      <w:tr w14:paraId="00F5E453">
        <w:tblPrEx>
          <w:tblCellMar>
            <w:top w:w="0" w:type="dxa"/>
            <w:left w:w="0" w:type="dxa"/>
            <w:bottom w:w="0" w:type="dxa"/>
            <w:right w:w="0" w:type="dxa"/>
          </w:tblCellMar>
        </w:tblPrEx>
        <w:trPr>
          <w:trHeight w:val="270" w:hRule="atLeast"/>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4432BC7C">
            <w:pPr>
              <w:widowControl/>
              <w:jc w:val="left"/>
              <w:rPr>
                <w:rFonts w:ascii="仿宋" w:hAnsi="仿宋" w:eastAsia="仿宋" w:cs="仿宋"/>
                <w:color w:val="000000"/>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30BF8825">
            <w:pPr>
              <w:widowControl/>
              <w:jc w:val="left"/>
              <w:rPr>
                <w:rFonts w:ascii="仿宋" w:hAnsi="仿宋" w:eastAsia="仿宋" w:cs="仿宋"/>
                <w:color w:val="000000"/>
                <w:szCs w:val="21"/>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719DF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09034E">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树木支撑规范，扎缚有效</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46493A">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发现一处扣1分，扣完为止</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58F31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r>
      <w:tr w14:paraId="477762F2">
        <w:tblPrEx>
          <w:tblCellMar>
            <w:top w:w="0" w:type="dxa"/>
            <w:left w:w="0" w:type="dxa"/>
            <w:bottom w:w="0" w:type="dxa"/>
            <w:right w:w="0" w:type="dxa"/>
          </w:tblCellMar>
        </w:tblPrEx>
        <w:trPr>
          <w:trHeight w:val="810" w:hRule="atLeast"/>
        </w:trPr>
        <w:tc>
          <w:tcPr>
            <w:tcW w:w="54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A3DFF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87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FED86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松土除草</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17分</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28F50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84BA7B">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绿地及时松土除草，保持土壤疏松，松土深度不伤根系</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B8BD6A">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树穴、地被土壤板结，长期不疏松，扣1分/处。发现有杂草扣1分/处</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8B2BA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t>
            </w:r>
          </w:p>
        </w:tc>
      </w:tr>
      <w:tr w14:paraId="65D858F0">
        <w:tblPrEx>
          <w:tblCellMar>
            <w:top w:w="0" w:type="dxa"/>
            <w:left w:w="0" w:type="dxa"/>
            <w:bottom w:w="0" w:type="dxa"/>
            <w:right w:w="0" w:type="dxa"/>
          </w:tblCellMar>
        </w:tblPrEx>
        <w:trPr>
          <w:trHeight w:val="810" w:hRule="atLeast"/>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41B673F1">
            <w:pPr>
              <w:widowControl/>
              <w:jc w:val="left"/>
              <w:rPr>
                <w:rFonts w:ascii="仿宋" w:hAnsi="仿宋" w:eastAsia="仿宋" w:cs="仿宋"/>
                <w:color w:val="000000"/>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6ABDD077">
            <w:pPr>
              <w:widowControl/>
              <w:jc w:val="left"/>
              <w:rPr>
                <w:rFonts w:ascii="仿宋" w:hAnsi="仿宋" w:eastAsia="仿宋" w:cs="仿宋"/>
                <w:color w:val="000000"/>
                <w:szCs w:val="21"/>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551BE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1B6103">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树穴整修，草坪内树穴与绿篱及时切边，草坪与树木、绿篱、草花应有分隔沟</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C4B018">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树穴、绿篱等不及时切边，草坪与树木、绿篱、草花等无明显分隔沟扣1分/处</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73CD6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r>
      <w:tr w14:paraId="3D16FB1F">
        <w:tblPrEx>
          <w:tblCellMar>
            <w:top w:w="0" w:type="dxa"/>
            <w:left w:w="0" w:type="dxa"/>
            <w:bottom w:w="0" w:type="dxa"/>
            <w:right w:w="0" w:type="dxa"/>
          </w:tblCellMar>
        </w:tblPrEx>
        <w:trPr>
          <w:trHeight w:val="540" w:hRule="atLeast"/>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7E40251E">
            <w:pPr>
              <w:widowControl/>
              <w:jc w:val="left"/>
              <w:rPr>
                <w:rFonts w:ascii="仿宋" w:hAnsi="仿宋" w:eastAsia="仿宋" w:cs="仿宋"/>
                <w:color w:val="000000"/>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6D1DBF97">
            <w:pPr>
              <w:widowControl/>
              <w:jc w:val="left"/>
              <w:rPr>
                <w:rFonts w:ascii="仿宋" w:hAnsi="仿宋" w:eastAsia="仿宋" w:cs="仿宋"/>
                <w:color w:val="000000"/>
                <w:szCs w:val="21"/>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10480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A5A1F5">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经同意使用除草剂须保证园林植物的安全，确保不发生药害</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D8AC6E">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发现一处药害不得分</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C4AEE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r>
      <w:tr w14:paraId="1AA4A4B8">
        <w:tblPrEx>
          <w:tblCellMar>
            <w:top w:w="0" w:type="dxa"/>
            <w:left w:w="0" w:type="dxa"/>
            <w:bottom w:w="0" w:type="dxa"/>
            <w:right w:w="0" w:type="dxa"/>
          </w:tblCellMar>
        </w:tblPrEx>
        <w:trPr>
          <w:trHeight w:val="810" w:hRule="atLeast"/>
        </w:trPr>
        <w:tc>
          <w:tcPr>
            <w:tcW w:w="54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05516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87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55937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浇灌排水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7分</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8E542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10C80E">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根据实际，对绿化树木及草坪进行时期适量浇水、喷水，及时抗旱，确保正常生长</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2CBCB3">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未及时浇灌，致使绿地植物生长不良，树木扣0.2分/株，草坪扣0.5分/㎡，致植物枯死加倍扣分</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577D5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r>
      <w:tr w14:paraId="065C139E">
        <w:tblPrEx>
          <w:tblCellMar>
            <w:top w:w="0" w:type="dxa"/>
            <w:left w:w="0" w:type="dxa"/>
            <w:bottom w:w="0" w:type="dxa"/>
            <w:right w:w="0" w:type="dxa"/>
          </w:tblCellMar>
        </w:tblPrEx>
        <w:trPr>
          <w:trHeight w:val="540" w:hRule="atLeast"/>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0B6DB883">
            <w:pPr>
              <w:widowControl/>
              <w:jc w:val="left"/>
              <w:rPr>
                <w:rFonts w:ascii="仿宋" w:hAnsi="仿宋" w:eastAsia="仿宋" w:cs="仿宋"/>
                <w:color w:val="000000"/>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63FF6BAA">
            <w:pPr>
              <w:widowControl/>
              <w:jc w:val="left"/>
              <w:rPr>
                <w:rFonts w:ascii="仿宋" w:hAnsi="仿宋" w:eastAsia="仿宋" w:cs="仿宋"/>
                <w:color w:val="000000"/>
                <w:szCs w:val="21"/>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009D2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6CC585">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绿地内不积水，坑洼处必须及时填平，确保雨后积水及时排除</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79A4D9">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雨后绿地、草坪有积水。扣1分/处</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4783E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r>
      <w:tr w14:paraId="3B4D5884">
        <w:tblPrEx>
          <w:tblCellMar>
            <w:top w:w="0" w:type="dxa"/>
            <w:left w:w="0" w:type="dxa"/>
            <w:bottom w:w="0" w:type="dxa"/>
            <w:right w:w="0" w:type="dxa"/>
          </w:tblCellMar>
        </w:tblPrEx>
        <w:trPr>
          <w:trHeight w:val="810" w:hRule="atLeast"/>
        </w:trPr>
        <w:tc>
          <w:tcPr>
            <w:tcW w:w="54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4776B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87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99691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施肥</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6分</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52B43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0C1182">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绿地、草坪、植物按要求施肥及时，每年休眠期施基肥，生长期施2-3次追肥，规范操作，施肥后及时覆盖。</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3C62A3">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不按规定及时施肥，扣1分/处；偷工减料，发现一次扣2分，不及时覆盖，发现一处扣1分</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94242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r>
      <w:tr w14:paraId="76076D00">
        <w:tblPrEx>
          <w:tblCellMar>
            <w:top w:w="0" w:type="dxa"/>
            <w:left w:w="0" w:type="dxa"/>
            <w:bottom w:w="0" w:type="dxa"/>
            <w:right w:w="0" w:type="dxa"/>
          </w:tblCellMar>
        </w:tblPrEx>
        <w:trPr>
          <w:trHeight w:val="540" w:hRule="atLeast"/>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3F10361E">
            <w:pPr>
              <w:widowControl/>
              <w:jc w:val="left"/>
              <w:rPr>
                <w:rFonts w:ascii="仿宋" w:hAnsi="仿宋" w:eastAsia="仿宋" w:cs="仿宋"/>
                <w:color w:val="000000"/>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26AAEAF4">
            <w:pPr>
              <w:widowControl/>
              <w:jc w:val="left"/>
              <w:rPr>
                <w:rFonts w:ascii="仿宋" w:hAnsi="仿宋" w:eastAsia="仿宋" w:cs="仿宋"/>
                <w:color w:val="000000"/>
                <w:szCs w:val="21"/>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35467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809468">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施肥方法适当，用量合理，不产生肥害</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109763">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如发生肥害，扣1分/处，致植物死亡，加倍扣分。</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B1550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r>
      <w:tr w14:paraId="042905DC">
        <w:tblPrEx>
          <w:tblCellMar>
            <w:top w:w="0" w:type="dxa"/>
            <w:left w:w="0" w:type="dxa"/>
            <w:bottom w:w="0" w:type="dxa"/>
            <w:right w:w="0" w:type="dxa"/>
          </w:tblCellMar>
        </w:tblPrEx>
        <w:trPr>
          <w:trHeight w:val="1080" w:hRule="atLeast"/>
        </w:trPr>
        <w:tc>
          <w:tcPr>
            <w:tcW w:w="54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28D3F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87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2DCBF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绿化长势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12分</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610CB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AA7F74">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绿地内树木无死株、断枝。枯枝、病枝，树木无大片光秃落叶</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88FA44">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发现死树，扣1分/处；有断枝、枯叶、大片光秃落叶，发现一处扣1分，色块内有1处灌木死亡扣1分/㎡</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067A8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r>
      <w:tr w14:paraId="5AE62CD4">
        <w:tblPrEx>
          <w:tblCellMar>
            <w:top w:w="0" w:type="dxa"/>
            <w:left w:w="0" w:type="dxa"/>
            <w:bottom w:w="0" w:type="dxa"/>
            <w:right w:w="0" w:type="dxa"/>
          </w:tblCellMar>
        </w:tblPrEx>
        <w:trPr>
          <w:trHeight w:val="1080" w:hRule="atLeast"/>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3FD4AF35">
            <w:pPr>
              <w:widowControl/>
              <w:jc w:val="left"/>
              <w:rPr>
                <w:rFonts w:ascii="仿宋" w:hAnsi="仿宋" w:eastAsia="仿宋" w:cs="仿宋"/>
                <w:color w:val="000000"/>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6DF99263">
            <w:pPr>
              <w:widowControl/>
              <w:jc w:val="left"/>
              <w:rPr>
                <w:rFonts w:ascii="仿宋" w:hAnsi="仿宋" w:eastAsia="仿宋" w:cs="仿宋"/>
                <w:color w:val="000000"/>
                <w:szCs w:val="21"/>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706DC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B77262">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绿地内乔灌木有缺株，绿篱及满种模纹花坛、草花有空缺应技术补缺，少数树种因季节不能及时补种除外</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0270B4">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乔灌木未按规定及时补缺，扣1分/株；绿篱未按规定及时补缺，扣1分/米；模纹花坛及草花未按规定及时补缺，扣1分/㎡</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C68C2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r>
      <w:tr w14:paraId="3B8B38B0">
        <w:tblPrEx>
          <w:tblCellMar>
            <w:top w:w="0" w:type="dxa"/>
            <w:left w:w="0" w:type="dxa"/>
            <w:bottom w:w="0" w:type="dxa"/>
            <w:right w:w="0" w:type="dxa"/>
          </w:tblCellMar>
        </w:tblPrEx>
        <w:trPr>
          <w:trHeight w:val="1801" w:hRule="atLeast"/>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1B086DCA">
            <w:pPr>
              <w:widowControl/>
              <w:jc w:val="left"/>
              <w:rPr>
                <w:rFonts w:ascii="仿宋" w:hAnsi="仿宋" w:eastAsia="仿宋" w:cs="仿宋"/>
                <w:color w:val="000000"/>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02801D86">
            <w:pPr>
              <w:widowControl/>
              <w:jc w:val="left"/>
              <w:rPr>
                <w:rFonts w:ascii="仿宋" w:hAnsi="仿宋" w:eastAsia="仿宋" w:cs="仿宋"/>
                <w:color w:val="000000"/>
                <w:szCs w:val="21"/>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D79DE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D64A7F">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绿地内树木生长健壮，无倾斜、倒伏现象。高大乔木在大风来临前应采取防倒有效措施，因台风等灾害天气造成树木倒伏时，应及时扶正支撑倒伏树木</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48E2A7">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正常情况下，绿地内乔木、大灌木有倾斜或倒伏现象，扣1分/株；因灾害天气造成树木倒伏，应在规定时间内扶正支撑，逾期扣1分/株；无有效措施导致高大乔木倒伏，扣1分/株。</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8D90F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r>
      <w:tr w14:paraId="66427C72">
        <w:tblPrEx>
          <w:tblCellMar>
            <w:top w:w="0" w:type="dxa"/>
            <w:left w:w="0" w:type="dxa"/>
            <w:bottom w:w="0" w:type="dxa"/>
            <w:right w:w="0" w:type="dxa"/>
          </w:tblCellMar>
        </w:tblPrEx>
        <w:trPr>
          <w:trHeight w:val="1350" w:hRule="atLeast"/>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06B1CD4E">
            <w:pPr>
              <w:widowControl/>
              <w:jc w:val="left"/>
              <w:rPr>
                <w:rFonts w:ascii="仿宋" w:hAnsi="仿宋" w:eastAsia="仿宋" w:cs="仿宋"/>
                <w:color w:val="000000"/>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1FB635C0">
            <w:pPr>
              <w:widowControl/>
              <w:jc w:val="left"/>
              <w:rPr>
                <w:rFonts w:ascii="仿宋" w:hAnsi="仿宋" w:eastAsia="仿宋" w:cs="仿宋"/>
                <w:color w:val="000000"/>
                <w:szCs w:val="21"/>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9E75F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061049">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草坪应长势旺盛，草坪无空缺，色泽一致，无黄化、积水现象，基本无杂草</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3E5F75">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草坪有黄化现象，扣1分/处；有积水现象扣1</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分/处；有明显杂草未拔除现象，扣0.5分/㎡；草坪有空缺，未按规定时间完成补种的，扣1分/㎡</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927C2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r>
      <w:tr w14:paraId="47590624">
        <w:tblPrEx>
          <w:tblCellMar>
            <w:top w:w="0" w:type="dxa"/>
            <w:left w:w="0" w:type="dxa"/>
            <w:bottom w:w="0" w:type="dxa"/>
            <w:right w:w="0" w:type="dxa"/>
          </w:tblCellMar>
        </w:tblPrEx>
        <w:trPr>
          <w:trHeight w:val="810" w:hRule="atLeast"/>
        </w:trPr>
        <w:tc>
          <w:tcPr>
            <w:tcW w:w="54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1363F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w:t>
            </w:r>
          </w:p>
        </w:tc>
        <w:tc>
          <w:tcPr>
            <w:tcW w:w="87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14CEE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病虫防治</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10分</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F0675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0F3A9B">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发现病虫害应主动汇报，积极防治，效果明显</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6861A1">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发现病虫害不汇报，扣2分/次；不及时防治，有明显危害症状2分/次；大面积危害加倍扣分。</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4E8B6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r>
      <w:tr w14:paraId="6B641708">
        <w:tblPrEx>
          <w:tblCellMar>
            <w:top w:w="0" w:type="dxa"/>
            <w:left w:w="0" w:type="dxa"/>
            <w:bottom w:w="0" w:type="dxa"/>
            <w:right w:w="0" w:type="dxa"/>
          </w:tblCellMar>
        </w:tblPrEx>
        <w:trPr>
          <w:trHeight w:val="1080" w:hRule="atLeast"/>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1BE60967">
            <w:pPr>
              <w:widowControl/>
              <w:jc w:val="left"/>
              <w:rPr>
                <w:rFonts w:ascii="仿宋" w:hAnsi="仿宋" w:eastAsia="仿宋" w:cs="仿宋"/>
                <w:color w:val="000000"/>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5DCECED0">
            <w:pPr>
              <w:widowControl/>
              <w:jc w:val="left"/>
              <w:rPr>
                <w:rFonts w:ascii="仿宋" w:hAnsi="仿宋" w:eastAsia="仿宋" w:cs="仿宋"/>
                <w:color w:val="000000"/>
                <w:szCs w:val="21"/>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8FDBB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9721EA">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使用农药严格按病虫情报指导要求配比、用量正确，无药害产生</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832AC3">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用药效果不佳，造成病虫害症状加重，扣1分/次；使用不当发生药害，致使植物落叶死亡，扣2分/处。</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8B398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r>
      <w:tr w14:paraId="13AC0D02">
        <w:tblPrEx>
          <w:tblCellMar>
            <w:top w:w="0" w:type="dxa"/>
            <w:left w:w="0" w:type="dxa"/>
            <w:bottom w:w="0" w:type="dxa"/>
            <w:right w:w="0" w:type="dxa"/>
          </w:tblCellMar>
        </w:tblPrEx>
        <w:trPr>
          <w:trHeight w:val="540" w:hRule="atLeast"/>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3B309EB4">
            <w:pPr>
              <w:widowControl/>
              <w:jc w:val="left"/>
              <w:rPr>
                <w:rFonts w:ascii="仿宋" w:hAnsi="仿宋" w:eastAsia="仿宋" w:cs="仿宋"/>
                <w:color w:val="000000"/>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5FA6B8BD">
            <w:pPr>
              <w:widowControl/>
              <w:jc w:val="left"/>
              <w:rPr>
                <w:rFonts w:ascii="仿宋" w:hAnsi="仿宋" w:eastAsia="仿宋" w:cs="仿宋"/>
                <w:color w:val="000000"/>
                <w:szCs w:val="21"/>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B47BA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920EA0">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结合冬季树木涂白、修剪，及时清理消灭越冬虫蛹、虫茧及有关病原体</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48736B">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不实施，有一项扣1分</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2935B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r>
      <w:tr w14:paraId="35BC90F6">
        <w:tblPrEx>
          <w:tblCellMar>
            <w:top w:w="0" w:type="dxa"/>
            <w:left w:w="0" w:type="dxa"/>
            <w:bottom w:w="0" w:type="dxa"/>
            <w:right w:w="0" w:type="dxa"/>
          </w:tblCellMar>
        </w:tblPrEx>
        <w:trPr>
          <w:trHeight w:val="2160" w:hRule="atLeast"/>
        </w:trPr>
        <w:tc>
          <w:tcPr>
            <w:tcW w:w="54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C6D94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t>
            </w:r>
          </w:p>
        </w:tc>
        <w:tc>
          <w:tcPr>
            <w:tcW w:w="87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04650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整株修剪</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20分</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261CB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52C8F8">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树木修剪规范整齐。高大乔木树冠完美，定枝、整枝合理均匀，内膛不乱，无枯枝死枝；花灌木修剪及时、准确，按时开花结果；色块、绿篱适期修剪，曲线润畅，轮廓明显，不缺损，三面整齐平整；球类修剪圆整，造型优雅</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894C75">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不及时修剪，扣2分；不按要求乱修剪，扣3分；有脱脚、缺损，扣0.5分/处；绿篱修剪面不平、不直，宽度不匀，扣1分/100m；有明显凹凸，扣0.5分/处，色块轮廓不明显，面不平，扣1分/处；球类修剪不圆，同条路或同快趋向不一，扣1分/处。</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ED5BB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t>
            </w:r>
          </w:p>
        </w:tc>
      </w:tr>
      <w:tr w14:paraId="08803E72">
        <w:tblPrEx>
          <w:tblCellMar>
            <w:top w:w="0" w:type="dxa"/>
            <w:left w:w="0" w:type="dxa"/>
            <w:bottom w:w="0" w:type="dxa"/>
            <w:right w:w="0" w:type="dxa"/>
          </w:tblCellMar>
        </w:tblPrEx>
        <w:trPr>
          <w:trHeight w:val="1350" w:hRule="atLeast"/>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4F6E4017">
            <w:pPr>
              <w:widowControl/>
              <w:jc w:val="left"/>
              <w:rPr>
                <w:rFonts w:ascii="仿宋" w:hAnsi="仿宋" w:eastAsia="仿宋" w:cs="仿宋"/>
                <w:color w:val="000000"/>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6E808B84">
            <w:pPr>
              <w:widowControl/>
              <w:jc w:val="left"/>
              <w:rPr>
                <w:rFonts w:ascii="仿宋" w:hAnsi="仿宋" w:eastAsia="仿宋" w:cs="仿宋"/>
                <w:color w:val="000000"/>
                <w:szCs w:val="21"/>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8BCD9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5A0D43">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按要求进行修剪或补缺。要根据树木习性及时修剪剥芽，修剪符合要求，树木通风透光良好</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35B109">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树木未按要求修剪扣2分/处，未及时修剪剥芽，扣2分/处；乔木荫蘖芽未及时剥除，发现1株扣1分；修剪不当造成树木枯死，影响美观的扣1分/株。</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1024C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r>
      <w:tr w14:paraId="5429AB5F">
        <w:tblPrEx>
          <w:tblCellMar>
            <w:top w:w="0" w:type="dxa"/>
            <w:left w:w="0" w:type="dxa"/>
            <w:bottom w:w="0" w:type="dxa"/>
            <w:right w:w="0" w:type="dxa"/>
          </w:tblCellMar>
        </w:tblPrEx>
        <w:trPr>
          <w:trHeight w:val="1350" w:hRule="atLeast"/>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7C2B2FD6">
            <w:pPr>
              <w:widowControl/>
              <w:jc w:val="left"/>
              <w:rPr>
                <w:rFonts w:ascii="仿宋" w:hAnsi="仿宋" w:eastAsia="仿宋" w:cs="仿宋"/>
                <w:color w:val="000000"/>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22D4F7C3">
            <w:pPr>
              <w:widowControl/>
              <w:jc w:val="left"/>
              <w:rPr>
                <w:rFonts w:ascii="仿宋" w:hAnsi="仿宋" w:eastAsia="仿宋" w:cs="仿宋"/>
                <w:color w:val="000000"/>
                <w:szCs w:val="21"/>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20C9E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32D121">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草坪适时进行修剪，保持一定高度，修剪面平整，边角无遗留，草屑及时扫尽运出。草坪修剪高度；冷季型为5-7cm，夏季6-8cm</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；暖季型3-5cm</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4634C2">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修剪面不平，边角有遗留，扣1分/处；修剪后</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色斑明显，扣0.5分/处；不及时修剪，扣1分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/处</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3288C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r>
      <w:tr w14:paraId="25C1B774">
        <w:tblPrEx>
          <w:tblCellMar>
            <w:top w:w="0" w:type="dxa"/>
            <w:left w:w="0" w:type="dxa"/>
            <w:bottom w:w="0" w:type="dxa"/>
            <w:right w:w="0" w:type="dxa"/>
          </w:tblCellMar>
        </w:tblPrEx>
        <w:trPr>
          <w:trHeight w:val="810" w:hRule="atLeast"/>
        </w:trPr>
        <w:tc>
          <w:tcPr>
            <w:tcW w:w="54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4343E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w:t>
            </w:r>
          </w:p>
        </w:tc>
        <w:tc>
          <w:tcPr>
            <w:tcW w:w="87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FC06F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绿地保护</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3分</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65D08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E624BA">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保护所承担养护区域的绿地，如遇第三方开挖，应主动检查其开挖证明，并跟踪其开挖活动，避免绿地受损</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F333FE">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发现毁绿未及时制止及上报，不得分；不配合开挖办理，扣1分</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46209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r>
      <w:tr w14:paraId="27F495EE">
        <w:tblPrEx>
          <w:tblCellMar>
            <w:top w:w="0" w:type="dxa"/>
            <w:left w:w="0" w:type="dxa"/>
            <w:bottom w:w="0" w:type="dxa"/>
            <w:right w:w="0" w:type="dxa"/>
          </w:tblCellMar>
        </w:tblPrEx>
        <w:trPr>
          <w:trHeight w:val="540" w:hRule="atLeast"/>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6790909E">
            <w:pPr>
              <w:widowControl/>
              <w:jc w:val="left"/>
              <w:rPr>
                <w:rFonts w:ascii="仿宋" w:hAnsi="仿宋" w:eastAsia="仿宋" w:cs="仿宋"/>
                <w:color w:val="000000"/>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2B9CC043">
            <w:pPr>
              <w:widowControl/>
              <w:jc w:val="left"/>
              <w:rPr>
                <w:rFonts w:ascii="仿宋" w:hAnsi="仿宋" w:eastAsia="仿宋" w:cs="仿宋"/>
                <w:color w:val="000000"/>
                <w:szCs w:val="21"/>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3A611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23</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19FD71">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绿地内不得有毁绿占绿现象</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31298C">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绿地被违规占用，有种蔬菜或堆放杂物未及时制止扣全项分</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1BDBA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r>
      <w:tr w14:paraId="71CDD344">
        <w:tblPrEx>
          <w:tblCellMar>
            <w:top w:w="0" w:type="dxa"/>
            <w:left w:w="0" w:type="dxa"/>
            <w:bottom w:w="0" w:type="dxa"/>
            <w:right w:w="0" w:type="dxa"/>
          </w:tblCellMar>
        </w:tblPrEx>
        <w:trPr>
          <w:trHeight w:val="1350" w:hRule="atLeast"/>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65871B6B">
            <w:pPr>
              <w:widowControl/>
              <w:jc w:val="left"/>
              <w:rPr>
                <w:rFonts w:ascii="仿宋" w:hAnsi="仿宋" w:eastAsia="仿宋" w:cs="仿宋"/>
                <w:color w:val="000000"/>
                <w:szCs w:val="21"/>
              </w:rPr>
            </w:pPr>
          </w:p>
        </w:tc>
        <w:tc>
          <w:tcPr>
            <w:tcW w:w="87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5BB64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行为质量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11分</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42726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3F0C88">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养护管护制度健全，工作台账完整真实，每月工作计划详细并及时上报</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A39DC0">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工作计划上报不及时，每次扣1分，不上报，每次扣2分；管理内容及工作完成情况、养护工作日记、养护巡查记录，未上报或详细性明确欠缺的，每处扣1分</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9F217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r>
      <w:tr w14:paraId="4BE7CF23">
        <w:tblPrEx>
          <w:tblCellMar>
            <w:top w:w="0" w:type="dxa"/>
            <w:left w:w="0" w:type="dxa"/>
            <w:bottom w:w="0" w:type="dxa"/>
            <w:right w:w="0" w:type="dxa"/>
          </w:tblCellMar>
        </w:tblPrEx>
        <w:trPr>
          <w:trHeight w:val="1890" w:hRule="atLeast"/>
        </w:trPr>
        <w:tc>
          <w:tcPr>
            <w:tcW w:w="54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82604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047C1CAA">
            <w:pPr>
              <w:widowControl/>
              <w:jc w:val="left"/>
              <w:rPr>
                <w:rFonts w:ascii="仿宋" w:hAnsi="仿宋" w:eastAsia="仿宋" w:cs="仿宋"/>
                <w:color w:val="000000"/>
                <w:szCs w:val="21"/>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93DE3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D49C90">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养护人员、设备到位；着装统一仪容整洁，严格按安全生产操作规程组织作业，养护管理规范</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C50304">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按照规定养护人员数量不符合要求，扣全部分值；项目负责人不在现场，扣2分；工作人员服装不统一，不按要求安全作业，每次0.5分；日常养护中设备不全的扣1分。道路施工时，标识标牌不齐全的扣2分</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92D51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r>
      <w:tr w14:paraId="666622F4">
        <w:tblPrEx>
          <w:tblCellMar>
            <w:top w:w="0" w:type="dxa"/>
            <w:left w:w="0" w:type="dxa"/>
            <w:bottom w:w="0" w:type="dxa"/>
            <w:right w:w="0" w:type="dxa"/>
          </w:tblCellMar>
        </w:tblPrEx>
        <w:trPr>
          <w:trHeight w:val="810" w:hRule="atLeast"/>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60D1D82B">
            <w:pPr>
              <w:widowControl/>
              <w:jc w:val="left"/>
              <w:rPr>
                <w:rFonts w:ascii="仿宋" w:hAnsi="仿宋" w:eastAsia="仿宋" w:cs="仿宋"/>
                <w:color w:val="000000"/>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083BEB92">
            <w:pPr>
              <w:widowControl/>
              <w:jc w:val="left"/>
              <w:rPr>
                <w:rFonts w:ascii="仿宋" w:hAnsi="仿宋" w:eastAsia="仿宋" w:cs="仿宋"/>
                <w:color w:val="000000"/>
                <w:szCs w:val="21"/>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F6EFA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5F1714">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按惯例单位要求，准时参加养护例会及培训等活动</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F7D1B5">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迟到一次扣0.5分；无故缺席一次扣1分；无故替</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开会一次扣0.5分</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CBF7F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r>
      <w:tr w14:paraId="0E027E50">
        <w:tblPrEx>
          <w:tblCellMar>
            <w:top w:w="0" w:type="dxa"/>
            <w:left w:w="0" w:type="dxa"/>
            <w:bottom w:w="0" w:type="dxa"/>
            <w:right w:w="0" w:type="dxa"/>
          </w:tblCellMar>
        </w:tblPrEx>
        <w:trPr>
          <w:trHeight w:val="1140" w:hRule="atLeast"/>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394360E4">
            <w:pPr>
              <w:widowControl/>
              <w:jc w:val="left"/>
              <w:rPr>
                <w:rFonts w:ascii="仿宋" w:hAnsi="仿宋" w:eastAsia="仿宋" w:cs="仿宋"/>
                <w:color w:val="000000"/>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35BF0D27">
            <w:pPr>
              <w:widowControl/>
              <w:jc w:val="left"/>
              <w:rPr>
                <w:rFonts w:ascii="仿宋" w:hAnsi="仿宋" w:eastAsia="仿宋" w:cs="仿宋"/>
                <w:color w:val="000000"/>
                <w:szCs w:val="21"/>
              </w:rPr>
            </w:pP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E969F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2238F0">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对</w:t>
            </w:r>
            <w:r>
              <w:rPr>
                <w:rFonts w:hint="eastAsia" w:ascii="仿宋" w:hAnsi="仿宋" w:eastAsia="仿宋" w:cs="仿宋"/>
                <w:color w:val="000000"/>
                <w:kern w:val="0"/>
                <w:szCs w:val="21"/>
                <w:lang w:eastAsia="zh-CN"/>
              </w:rPr>
              <w:t>学校</w:t>
            </w:r>
            <w:r>
              <w:rPr>
                <w:rFonts w:hint="eastAsia" w:ascii="仿宋" w:hAnsi="仿宋" w:eastAsia="仿宋" w:cs="仿宋"/>
                <w:color w:val="000000"/>
                <w:kern w:val="0"/>
                <w:szCs w:val="21"/>
              </w:rPr>
              <w:t xml:space="preserve">相关部门要求整改的问题及时处理 </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987A45">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管理单位下发整改通知书或新闻媒体曝光，每次扣2分；3天内未及时整改或整改不到位，扣2分；涉及数字城管案件，在规定时间未处理扣1分，超时处理每超一天，扣2分</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5D25C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r>
      <w:tr w14:paraId="5D41A6B0">
        <w:tblPrEx>
          <w:tblCellMar>
            <w:top w:w="0" w:type="dxa"/>
            <w:left w:w="0" w:type="dxa"/>
            <w:bottom w:w="0" w:type="dxa"/>
            <w:right w:w="0" w:type="dxa"/>
          </w:tblCellMar>
        </w:tblPrEx>
        <w:trPr>
          <w:trHeight w:val="540" w:hRule="atLeast"/>
        </w:trPr>
        <w:tc>
          <w:tcPr>
            <w:tcW w:w="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E70C6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8A7BE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其他</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3分</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E9B84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8D0856">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其他不符合</w:t>
            </w:r>
            <w:r>
              <w:rPr>
                <w:rFonts w:hint="eastAsia" w:ascii="仿宋" w:hAnsi="仿宋" w:eastAsia="仿宋" w:cs="仿宋"/>
                <w:color w:val="000000"/>
                <w:kern w:val="0"/>
                <w:szCs w:val="21"/>
                <w:lang w:eastAsia="zh-CN"/>
              </w:rPr>
              <w:t>学校</w:t>
            </w:r>
            <w:r>
              <w:rPr>
                <w:rFonts w:hint="eastAsia" w:ascii="仿宋" w:hAnsi="仿宋" w:eastAsia="仿宋" w:cs="仿宋"/>
                <w:color w:val="000000"/>
                <w:kern w:val="0"/>
                <w:szCs w:val="21"/>
              </w:rPr>
              <w:t>园林绿化管理质量标准的</w:t>
            </w:r>
          </w:p>
        </w:tc>
        <w:tc>
          <w:tcPr>
            <w:tcW w:w="35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93E33B">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由</w:t>
            </w:r>
            <w:r>
              <w:rPr>
                <w:rFonts w:hint="eastAsia" w:ascii="仿宋" w:hAnsi="仿宋" w:eastAsia="仿宋" w:cs="仿宋"/>
                <w:color w:val="000000"/>
                <w:kern w:val="0"/>
                <w:szCs w:val="21"/>
                <w:lang w:eastAsia="zh-CN"/>
              </w:rPr>
              <w:t>学校</w:t>
            </w:r>
            <w:r>
              <w:rPr>
                <w:rFonts w:hint="eastAsia" w:ascii="仿宋" w:hAnsi="仿宋" w:eastAsia="仿宋" w:cs="仿宋"/>
                <w:color w:val="000000"/>
                <w:kern w:val="0"/>
                <w:szCs w:val="21"/>
              </w:rPr>
              <w:t>考评组酌情扣分，并说明理由</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10FF5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t>
            </w:r>
          </w:p>
        </w:tc>
      </w:tr>
    </w:tbl>
    <w:p w14:paraId="0FDB27E6">
      <w:pPr>
        <w:spacing w:line="0" w:lineRule="atLeast"/>
        <w:ind w:firstLine="482"/>
        <w:rPr>
          <w:rFonts w:hint="eastAsia" w:ascii="仿宋" w:hAnsi="仿宋" w:eastAsia="仿宋" w:cs="仿宋"/>
          <w:b/>
          <w:bCs/>
          <w:sz w:val="28"/>
          <w:szCs w:val="28"/>
        </w:rPr>
      </w:pPr>
    </w:p>
    <w:p w14:paraId="3E38B7E4">
      <w:pPr>
        <w:spacing w:line="0" w:lineRule="atLeast"/>
        <w:ind w:firstLine="482"/>
        <w:jc w:val="left"/>
        <w:rPr>
          <w:rFonts w:hint="eastAsia" w:ascii="仿宋" w:hAnsi="仿宋" w:eastAsia="仿宋" w:cs="仿宋"/>
          <w:b/>
          <w:bCs/>
          <w:sz w:val="28"/>
          <w:szCs w:val="28"/>
        </w:rPr>
      </w:pPr>
      <w:r>
        <w:rPr>
          <w:rFonts w:hint="eastAsia" w:ascii="仿宋" w:hAnsi="仿宋" w:eastAsia="仿宋" w:cs="仿宋"/>
          <w:b/>
          <w:bCs/>
          <w:sz w:val="28"/>
          <w:szCs w:val="28"/>
        </w:rPr>
        <w:t>考核结果及处理方式</w:t>
      </w:r>
    </w:p>
    <w:p w14:paraId="11613A1D">
      <w:pPr>
        <w:spacing w:line="0" w:lineRule="atLeast"/>
        <w:ind w:firstLine="482"/>
        <w:rPr>
          <w:rFonts w:hint="eastAsia" w:ascii="仿宋" w:hAnsi="仿宋" w:eastAsia="仿宋" w:cs="仿宋"/>
          <w:sz w:val="24"/>
        </w:rPr>
      </w:pPr>
      <w:r>
        <w:rPr>
          <w:rFonts w:hint="eastAsia" w:ascii="仿宋" w:hAnsi="仿宋" w:eastAsia="仿宋" w:cs="仿宋"/>
          <w:sz w:val="24"/>
        </w:rPr>
        <w:t>1、各项在相应分配分值的基础上进行扣减，扣完为止，不记负分。</w:t>
      </w:r>
    </w:p>
    <w:p w14:paraId="3347F4D1">
      <w:pPr>
        <w:spacing w:line="0" w:lineRule="atLeast"/>
        <w:ind w:firstLine="482"/>
        <w:rPr>
          <w:rFonts w:hint="eastAsia" w:ascii="仿宋" w:hAnsi="仿宋" w:eastAsia="仿宋" w:cs="仿宋"/>
          <w:sz w:val="24"/>
        </w:rPr>
      </w:pPr>
      <w:r>
        <w:rPr>
          <w:rFonts w:hint="eastAsia" w:ascii="仿宋" w:hAnsi="仿宋" w:eastAsia="仿宋" w:cs="仿宋"/>
          <w:sz w:val="24"/>
        </w:rPr>
        <w:t>2、检查考核采取</w:t>
      </w:r>
      <w:r>
        <w:rPr>
          <w:rFonts w:hint="eastAsia" w:ascii="仿宋" w:hAnsi="仿宋" w:eastAsia="仿宋" w:cs="仿宋"/>
          <w:sz w:val="24"/>
          <w:lang w:val="en-US" w:eastAsia="zh-CN"/>
        </w:rPr>
        <w:t>综合</w:t>
      </w:r>
      <w:r>
        <w:rPr>
          <w:rFonts w:hint="eastAsia" w:ascii="仿宋" w:hAnsi="仿宋" w:eastAsia="仿宋" w:cs="仿宋"/>
          <w:sz w:val="24"/>
        </w:rPr>
        <w:t>考核</w:t>
      </w:r>
      <w:r>
        <w:rPr>
          <w:rFonts w:hint="eastAsia" w:ascii="仿宋" w:hAnsi="仿宋" w:eastAsia="仿宋" w:cs="仿宋"/>
          <w:sz w:val="24"/>
          <w:lang w:val="en-US" w:eastAsia="zh-CN"/>
        </w:rPr>
        <w:t>频分</w:t>
      </w:r>
      <w:r>
        <w:rPr>
          <w:rFonts w:hint="eastAsia" w:ascii="仿宋" w:hAnsi="仿宋" w:eastAsia="仿宋" w:cs="仿宋"/>
          <w:sz w:val="24"/>
        </w:rPr>
        <w:t>的方式，</w:t>
      </w:r>
      <w:r>
        <w:rPr>
          <w:rFonts w:hint="eastAsia" w:ascii="仿宋" w:hAnsi="仿宋" w:eastAsia="仿宋" w:cs="仿宋"/>
          <w:sz w:val="24"/>
          <w:lang w:val="en-US" w:eastAsia="zh-CN"/>
        </w:rPr>
        <w:t>年</w:t>
      </w:r>
      <w:r>
        <w:rPr>
          <w:rFonts w:hint="eastAsia" w:ascii="仿宋" w:hAnsi="仿宋" w:eastAsia="仿宋" w:cs="仿宋"/>
          <w:sz w:val="24"/>
        </w:rPr>
        <w:t>度得分在85分及以上的不扣款，低于85分的，每低一分扣100元。</w:t>
      </w:r>
    </w:p>
    <w:p w14:paraId="4671C805">
      <w:pPr>
        <w:spacing w:line="0" w:lineRule="atLeast"/>
        <w:ind w:firstLine="482"/>
        <w:rPr>
          <w:rFonts w:hint="eastAsia" w:ascii="仿宋" w:hAnsi="仿宋" w:eastAsia="仿宋" w:cs="仿宋"/>
          <w:sz w:val="24"/>
        </w:rPr>
      </w:pPr>
      <w:r>
        <w:rPr>
          <w:rFonts w:hint="eastAsia" w:ascii="仿宋" w:hAnsi="仿宋" w:eastAsia="仿宋" w:cs="仿宋"/>
          <w:sz w:val="24"/>
        </w:rPr>
        <w:t>3、出现下列情况之一的，收回养护单位的承包权，扣发养护经费，同时取消该养护单位两年内的绿化养护工程投标资格。</w:t>
      </w:r>
    </w:p>
    <w:p w14:paraId="5780387A">
      <w:pPr>
        <w:spacing w:line="0" w:lineRule="atLeast"/>
        <w:ind w:firstLine="482"/>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年度考核</w:t>
      </w:r>
      <w:r>
        <w:rPr>
          <w:rFonts w:hint="eastAsia" w:ascii="仿宋" w:hAnsi="仿宋" w:eastAsia="仿宋" w:cs="仿宋"/>
          <w:sz w:val="24"/>
        </w:rPr>
        <w:t>得分在85分以下；</w:t>
      </w:r>
    </w:p>
    <w:p w14:paraId="43AE4EE4">
      <w:pPr>
        <w:spacing w:line="0" w:lineRule="atLeast"/>
        <w:ind w:firstLine="482"/>
        <w:rPr>
          <w:rFonts w:hint="eastAsia" w:ascii="仿宋" w:hAnsi="仿宋" w:eastAsia="仿宋" w:cs="仿宋"/>
          <w:sz w:val="24"/>
        </w:rPr>
      </w:pPr>
      <w:r>
        <w:rPr>
          <w:rFonts w:hint="eastAsia" w:ascii="仿宋" w:hAnsi="仿宋" w:eastAsia="仿宋" w:cs="仿宋"/>
          <w:sz w:val="24"/>
        </w:rPr>
        <w:t>（2）因工作质量问题，造成重大影响的；</w:t>
      </w:r>
    </w:p>
    <w:p w14:paraId="5A0AD292">
      <w:pPr>
        <w:spacing w:line="0" w:lineRule="atLeast"/>
        <w:ind w:firstLine="482"/>
        <w:rPr>
          <w:rFonts w:asciiTheme="majorEastAsia" w:hAnsiTheme="majorEastAsia" w:eastAsiaTheme="majorEastAsia"/>
          <w:sz w:val="24"/>
          <w:szCs w:val="24"/>
        </w:rPr>
      </w:pPr>
      <w:r>
        <w:rPr>
          <w:rFonts w:hint="eastAsia" w:ascii="仿宋" w:hAnsi="仿宋" w:eastAsia="仿宋" w:cs="仿宋"/>
          <w:sz w:val="24"/>
        </w:rPr>
        <w:t>（3）不服从管理，无理取闹的。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U1OGFlNWMwOGE2YTU3NzU2MzA1Y2VkMTg2NDk0MGEifQ=="/>
  </w:docVars>
  <w:rsids>
    <w:rsidRoot w:val="00DD0835"/>
    <w:rsid w:val="000115C3"/>
    <w:rsid w:val="00074112"/>
    <w:rsid w:val="001E579F"/>
    <w:rsid w:val="001F2F10"/>
    <w:rsid w:val="0020459D"/>
    <w:rsid w:val="002D2B1C"/>
    <w:rsid w:val="00302F6D"/>
    <w:rsid w:val="00383C7F"/>
    <w:rsid w:val="00441E1D"/>
    <w:rsid w:val="00457B85"/>
    <w:rsid w:val="004743D6"/>
    <w:rsid w:val="004C1418"/>
    <w:rsid w:val="004C2AAA"/>
    <w:rsid w:val="004E3425"/>
    <w:rsid w:val="00504C48"/>
    <w:rsid w:val="00512B6D"/>
    <w:rsid w:val="0056028D"/>
    <w:rsid w:val="0056547E"/>
    <w:rsid w:val="005F482B"/>
    <w:rsid w:val="0063474E"/>
    <w:rsid w:val="00641B1E"/>
    <w:rsid w:val="006719F9"/>
    <w:rsid w:val="00680620"/>
    <w:rsid w:val="00692417"/>
    <w:rsid w:val="00697AF1"/>
    <w:rsid w:val="006C010D"/>
    <w:rsid w:val="006C4732"/>
    <w:rsid w:val="007039D1"/>
    <w:rsid w:val="007118F2"/>
    <w:rsid w:val="00734F48"/>
    <w:rsid w:val="00764225"/>
    <w:rsid w:val="00784D0E"/>
    <w:rsid w:val="00785324"/>
    <w:rsid w:val="007A5EA9"/>
    <w:rsid w:val="00807E41"/>
    <w:rsid w:val="008842C5"/>
    <w:rsid w:val="008C4FDB"/>
    <w:rsid w:val="008C5E7F"/>
    <w:rsid w:val="008F14DC"/>
    <w:rsid w:val="00900FE9"/>
    <w:rsid w:val="00905B98"/>
    <w:rsid w:val="00935DBB"/>
    <w:rsid w:val="00A2717A"/>
    <w:rsid w:val="00A82404"/>
    <w:rsid w:val="00AF0CAE"/>
    <w:rsid w:val="00AF3435"/>
    <w:rsid w:val="00B330E9"/>
    <w:rsid w:val="00B524A1"/>
    <w:rsid w:val="00BF35A7"/>
    <w:rsid w:val="00C2154A"/>
    <w:rsid w:val="00CB06EA"/>
    <w:rsid w:val="00CC1085"/>
    <w:rsid w:val="00CC4F1B"/>
    <w:rsid w:val="00D01DB5"/>
    <w:rsid w:val="00D2129E"/>
    <w:rsid w:val="00D303AA"/>
    <w:rsid w:val="00D36F4F"/>
    <w:rsid w:val="00DA0095"/>
    <w:rsid w:val="00DB0136"/>
    <w:rsid w:val="00DD0835"/>
    <w:rsid w:val="00E03B7A"/>
    <w:rsid w:val="00E77B7F"/>
    <w:rsid w:val="00E926FD"/>
    <w:rsid w:val="00F070D1"/>
    <w:rsid w:val="00F43EE6"/>
    <w:rsid w:val="00F55631"/>
    <w:rsid w:val="00F871E3"/>
    <w:rsid w:val="00FA6829"/>
    <w:rsid w:val="00FC17F9"/>
    <w:rsid w:val="01423F24"/>
    <w:rsid w:val="08601134"/>
    <w:rsid w:val="0F264E85"/>
    <w:rsid w:val="0F421593"/>
    <w:rsid w:val="12266F4A"/>
    <w:rsid w:val="134753CA"/>
    <w:rsid w:val="141352AC"/>
    <w:rsid w:val="14264B71"/>
    <w:rsid w:val="1780534F"/>
    <w:rsid w:val="191D4C15"/>
    <w:rsid w:val="1B6C6C86"/>
    <w:rsid w:val="1BEA2D97"/>
    <w:rsid w:val="1E827BFE"/>
    <w:rsid w:val="1ED41ADC"/>
    <w:rsid w:val="283D194F"/>
    <w:rsid w:val="28E84B02"/>
    <w:rsid w:val="2D3E1F7A"/>
    <w:rsid w:val="2EF37D5C"/>
    <w:rsid w:val="317E4255"/>
    <w:rsid w:val="342509B8"/>
    <w:rsid w:val="359D0A22"/>
    <w:rsid w:val="38F8669B"/>
    <w:rsid w:val="3F4C585B"/>
    <w:rsid w:val="3FE71217"/>
    <w:rsid w:val="46472A10"/>
    <w:rsid w:val="48743864"/>
    <w:rsid w:val="4BA91A77"/>
    <w:rsid w:val="4C465518"/>
    <w:rsid w:val="4F033DD3"/>
    <w:rsid w:val="50A54F03"/>
    <w:rsid w:val="53285977"/>
    <w:rsid w:val="55E95892"/>
    <w:rsid w:val="57EE3633"/>
    <w:rsid w:val="5B691AAC"/>
    <w:rsid w:val="5C41026C"/>
    <w:rsid w:val="5F5C0E82"/>
    <w:rsid w:val="6065020A"/>
    <w:rsid w:val="63CB65D6"/>
    <w:rsid w:val="63F109D0"/>
    <w:rsid w:val="648F3AA8"/>
    <w:rsid w:val="683C5CF5"/>
    <w:rsid w:val="6BA3608B"/>
    <w:rsid w:val="6DFA0C4C"/>
    <w:rsid w:val="6FC254E0"/>
    <w:rsid w:val="6FFE1AE2"/>
    <w:rsid w:val="72225F5B"/>
    <w:rsid w:val="741D2E7E"/>
    <w:rsid w:val="74493C73"/>
    <w:rsid w:val="765D0B59"/>
    <w:rsid w:val="7AA03EC1"/>
    <w:rsid w:val="7B2F5245"/>
    <w:rsid w:val="7BC2430B"/>
    <w:rsid w:val="7F9E2999"/>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semiHidden/>
    <w:unhideWhenUsed/>
    <w:qFormat/>
    <w:uiPriority w:val="99"/>
    <w:rPr>
      <w:rFonts w:ascii="Courier New" w:hAnsi="Courier New" w:eastAsia="宋体" w:cs="Times New Roman"/>
      <w:szCs w:val="24"/>
    </w:rPr>
  </w:style>
  <w:style w:type="paragraph" w:styleId="3">
    <w:name w:val="Balloon Text"/>
    <w:basedOn w:val="1"/>
    <w:link w:val="10"/>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jc w:val="left"/>
    </w:pPr>
    <w:rPr>
      <w:rFonts w:ascii="宋体" w:hAnsi="宋体" w:eastAsia="宋体" w:cs="宋体"/>
      <w:kern w:val="0"/>
      <w:sz w:val="24"/>
      <w:szCs w:val="24"/>
    </w:rPr>
  </w:style>
  <w:style w:type="character" w:styleId="9">
    <w:name w:val="Hyperlink"/>
    <w:basedOn w:val="8"/>
    <w:semiHidden/>
    <w:unhideWhenUsed/>
    <w:qFormat/>
    <w:uiPriority w:val="99"/>
    <w:rPr>
      <w:color w:val="444444"/>
      <w:u w:val="none"/>
      <w:shd w:val="clear" w:color="auto" w:fill="auto"/>
    </w:rPr>
  </w:style>
  <w:style w:type="character" w:customStyle="1" w:styleId="10">
    <w:name w:val="批注框文本 Char"/>
    <w:basedOn w:val="8"/>
    <w:link w:val="3"/>
    <w:semiHidden/>
    <w:qFormat/>
    <w:uiPriority w:val="99"/>
    <w:rPr>
      <w:sz w:val="18"/>
      <w:szCs w:val="18"/>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纯文本 Char"/>
    <w:basedOn w:val="8"/>
    <w:link w:val="2"/>
    <w:semiHidden/>
    <w:qFormat/>
    <w:uiPriority w:val="99"/>
    <w:rPr>
      <w:rFonts w:ascii="Courier New" w:hAnsi="Courier New"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1733</Words>
  <Characters>1749</Characters>
  <Lines>25</Lines>
  <Paragraphs>7</Paragraphs>
  <TotalTime>0</TotalTime>
  <ScaleCrop>false</ScaleCrop>
  <LinksUpToDate>false</LinksUpToDate>
  <CharactersWithSpaces>2047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2020-12-22T08:15:00Z</dcterms:created>
  <dc:creator>ASUS</dc:creator>
  <cp:lastModifiedBy>-  萍</cp:lastModifiedBy>
  <cp:lastPrinted>2020-12-22T08:15:00Z</cp:lastPrinted>
  <dcterms:modified xsi:type="dcterms:W3CDTF">2025-12-15T01:34:17Z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3F294E3A11EA44BFBFF8238235F9E204</vt:lpwstr>
  </property>
  <property fmtid="{D5CDD505-2E9C-101B-9397-08002B2CF9AE}" pid="4" name="KSOTemplateDocerSaveRecord">
    <vt:lpwstr>eyJoZGlkIjoiMmJmNmU2YjUwZGFkNmFhNzE2MTY2Y2JlZWYzNTkyOWEiLCJ1c2VySWQiOiIyODM5NDUwMTgifQ==</vt:lpwstr>
  </property>
</Properties>
</file>